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9DA" w:rsidRPr="00E92875" w:rsidRDefault="00E92875">
      <w:pPr>
        <w:widowControl w:val="0"/>
        <w:autoSpaceDE w:val="0"/>
        <w:autoSpaceDN w:val="0"/>
        <w:adjustRightInd w:val="0"/>
        <w:spacing w:after="0" w:line="360" w:lineRule="auto"/>
        <w:ind w:firstLine="709"/>
        <w:jc w:val="center"/>
        <w:rPr>
          <w:rFonts w:ascii="Times New Roman CYR" w:hAnsi="Times New Roman CYR" w:cs="Times New Roman CYR"/>
          <w:b/>
          <w:bCs/>
          <w:sz w:val="32"/>
          <w:szCs w:val="32"/>
        </w:rPr>
      </w:pPr>
      <w:r w:rsidRPr="00E92875">
        <w:rPr>
          <w:rFonts w:ascii="Times New Roman CYR" w:hAnsi="Times New Roman CYR" w:cs="Times New Roman CYR"/>
          <w:b/>
          <w:bCs/>
          <w:sz w:val="32"/>
          <w:szCs w:val="32"/>
        </w:rPr>
        <w:t>Управление ликвидностью банка</w:t>
      </w:r>
    </w:p>
    <w:p w:rsidR="003359DA" w:rsidRDefault="003359D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E92875" w:rsidRPr="00425476" w:rsidRDefault="00E92875">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425476" w:rsidRPr="00425476" w:rsidRDefault="00425476" w:rsidP="00425476">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425476">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425476" w:rsidRPr="00425476" w:rsidRDefault="00033835" w:rsidP="00425476">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hyperlink r:id="rId7" w:history="1">
        <w:r w:rsidR="00425476" w:rsidRPr="00425476">
          <w:rPr>
            <w:rFonts w:ascii="Times New Roman CYR" w:eastAsia="Times New Roman" w:hAnsi="Times New Roman CYR" w:cs="Times New Roman CYR"/>
            <w:b/>
            <w:color w:val="0000FF"/>
            <w:sz w:val="28"/>
            <w:szCs w:val="28"/>
            <w:u w:val="single"/>
            <w:lang w:val="en-US"/>
          </w:rPr>
          <w:t>http</w:t>
        </w:r>
        <w:r w:rsidR="00425476" w:rsidRPr="00425476">
          <w:rPr>
            <w:rFonts w:ascii="Times New Roman CYR" w:eastAsia="Times New Roman" w:hAnsi="Times New Roman CYR" w:cs="Times New Roman CYR"/>
            <w:b/>
            <w:color w:val="0000FF"/>
            <w:sz w:val="28"/>
            <w:szCs w:val="28"/>
            <w:u w:val="single"/>
          </w:rPr>
          <w:t>://учебники.информ2000.рф/</w:t>
        </w:r>
        <w:proofErr w:type="spellStart"/>
        <w:r w:rsidR="00425476" w:rsidRPr="00425476">
          <w:rPr>
            <w:rFonts w:ascii="Times New Roman CYR" w:eastAsia="Times New Roman" w:hAnsi="Times New Roman CYR" w:cs="Times New Roman CYR"/>
            <w:b/>
            <w:color w:val="0000FF"/>
            <w:sz w:val="28"/>
            <w:szCs w:val="28"/>
            <w:u w:val="single"/>
            <w:lang w:val="en-US"/>
          </w:rPr>
          <w:t>diplom</w:t>
        </w:r>
        <w:proofErr w:type="spellEnd"/>
        <w:r w:rsidR="00425476" w:rsidRPr="00425476">
          <w:rPr>
            <w:rFonts w:ascii="Times New Roman CYR" w:eastAsia="Times New Roman" w:hAnsi="Times New Roman CYR" w:cs="Times New Roman CYR"/>
            <w:b/>
            <w:color w:val="0000FF"/>
            <w:sz w:val="28"/>
            <w:szCs w:val="28"/>
            <w:u w:val="single"/>
          </w:rPr>
          <w:t>.</w:t>
        </w:r>
        <w:proofErr w:type="spellStart"/>
        <w:r w:rsidR="00425476" w:rsidRPr="00425476">
          <w:rPr>
            <w:rFonts w:ascii="Times New Roman CYR" w:eastAsia="Times New Roman" w:hAnsi="Times New Roman CYR" w:cs="Times New Roman CYR"/>
            <w:b/>
            <w:color w:val="0000FF"/>
            <w:sz w:val="28"/>
            <w:szCs w:val="28"/>
            <w:u w:val="single"/>
            <w:lang w:val="en-US"/>
          </w:rPr>
          <w:t>shtml</w:t>
        </w:r>
        <w:proofErr w:type="spellEnd"/>
      </w:hyperlink>
    </w:p>
    <w:p w:rsidR="00425476" w:rsidRPr="00425476" w:rsidRDefault="00425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303476" w:rsidRDefault="00303476">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w:t>
      </w:r>
      <w:r>
        <w:rPr>
          <w:rFonts w:ascii="Times New Roman CYR" w:hAnsi="Times New Roman CYR" w:cs="Times New Roman CYR"/>
          <w:sz w:val="28"/>
          <w:szCs w:val="28"/>
        </w:rPr>
        <w:tab/>
        <w:t xml:space="preserve">Теоретические аспекты процесса управления ликвидностью банка </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 xml:space="preserve">Понятие и характеристика элементов управления ликвидностью банка </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Особенности регулирования ликвидности коммерческих банков со стороны Центрального банка Российской Федерации</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Методы управления ликвидностью коммерческого банка </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2. Анализ процесса управления ликвидностью в ОАО «Московский индустриальный банк» </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Общая характеристика деятельности коммерческого банка </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Анализ структуры и динамики активов банка </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Оценка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xml:space="preserve">» </w:t>
      </w:r>
    </w:p>
    <w:p w:rsidR="00303476" w:rsidRDefault="00303476">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w:t>
      </w:r>
      <w:r>
        <w:rPr>
          <w:rFonts w:ascii="Times New Roman CYR" w:hAnsi="Times New Roman CYR" w:cs="Times New Roman CYR"/>
          <w:sz w:val="28"/>
          <w:szCs w:val="28"/>
        </w:rPr>
        <w:tab/>
        <w:t>Совершенствование процесса управления ликвидностью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 xml:space="preserve">Направления совершенствования политики управления ликвидностью коммерческого банка </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Мероприятия по повышению уровня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p w:rsidR="00303476" w:rsidRDefault="00303476">
      <w:pPr>
        <w:widowControl w:val="0"/>
        <w:tabs>
          <w:tab w:val="left" w:pos="426"/>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Оценка риска ликвидности банка и возможности его снижения</w:t>
      </w:r>
    </w:p>
    <w:p w:rsidR="00303476" w:rsidRDefault="00303476">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303476" w:rsidRDefault="00303476">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303476" w:rsidRDefault="00303476">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Приложение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развития России, вставшей на путь рыночных преобразований, важное место приобретает эффективное управление всеми экономическими процессами. Особенно это относится к банковской сфере, пережившей за последнее время ряд разрушительных кризисов. Последние стали возможными не только по причинам общеэкономического характера, но и явились результатом непрофессионального подхода к управлению ликвидностью кредитных организаций.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Банковская система Российской Федерации, представляющая собой организованную совокупность банков страны, функционирующих во взаимодействии и взаимосвязи друг с другом, является одной из основных элементов целостного экономического механизма, которая формирует денежные капиталы, обслуживает производственные и инвестиционные потребности предприятий и населения, однако значительно отстает от развитых стран и, несмотря на высокий рост, объем выдаваемых кредитов не соответствует задачам экономического роста, стоящим перед страной.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источников финансирования капиталовложений российских предприятий доля банковских кредитов остается очень незначительной по сравнению с развитыми странами - около 8-10%. Большая часть населения не включена в систему банковского обслуживания: так по данным статистики, банковские счета в России имеют чуть больше 25% россиян, тогда как в западноевропейских странах - все взрослое население. К тому же около 10% населения пользуются пластиковыми картами в то время, как в развитых странах на каждого жителя приходится 1-2 карты.</w:t>
      </w:r>
    </w:p>
    <w:tbl>
      <w:tblPr>
        <w:tblStyle w:val="a8"/>
        <w:tblW w:w="0" w:type="auto"/>
        <w:jc w:val="center"/>
        <w:tblInd w:w="0" w:type="dxa"/>
        <w:tblLook w:val="04A0" w:firstRow="1" w:lastRow="0" w:firstColumn="1" w:lastColumn="0" w:noHBand="0" w:noVBand="1"/>
      </w:tblPr>
      <w:tblGrid>
        <w:gridCol w:w="8472"/>
      </w:tblGrid>
      <w:tr w:rsidR="00845ED9" w:rsidTr="00845ED9">
        <w:trPr>
          <w:jc w:val="center"/>
        </w:trPr>
        <w:tc>
          <w:tcPr>
            <w:tcW w:w="8472" w:type="dxa"/>
            <w:tcBorders>
              <w:top w:val="single" w:sz="4" w:space="0" w:color="auto"/>
              <w:left w:val="single" w:sz="4" w:space="0" w:color="auto"/>
              <w:bottom w:val="single" w:sz="4" w:space="0" w:color="auto"/>
              <w:right w:val="single" w:sz="4" w:space="0" w:color="auto"/>
            </w:tcBorders>
            <w:hideMark/>
          </w:tcPr>
          <w:p w:rsidR="00845ED9" w:rsidRDefault="00033835">
            <w:pPr>
              <w:spacing w:line="360" w:lineRule="auto"/>
              <w:textAlignment w:val="baseline"/>
              <w:rPr>
                <w:rFonts w:ascii="Arial" w:hAnsi="Arial"/>
                <w:color w:val="444444"/>
                <w:sz w:val="28"/>
                <w:szCs w:val="28"/>
              </w:rPr>
            </w:pPr>
            <w:hyperlink r:id="rId8" w:history="1">
              <w:r w:rsidR="00845ED9">
                <w:rPr>
                  <w:rStyle w:val="a7"/>
                </w:rPr>
                <w:t>Вернуться в библиотеку по экономике и праву: учебники, дипломы, диссертации</w:t>
              </w:r>
            </w:hyperlink>
          </w:p>
          <w:p w:rsidR="00845ED9" w:rsidRDefault="00033835">
            <w:pPr>
              <w:spacing w:line="360" w:lineRule="auto"/>
              <w:textAlignment w:val="baseline"/>
              <w:rPr>
                <w:rFonts w:ascii="Arial" w:hAnsi="Arial"/>
                <w:color w:val="444444"/>
                <w:sz w:val="28"/>
                <w:szCs w:val="28"/>
              </w:rPr>
            </w:pPr>
            <w:hyperlink r:id="rId9" w:history="1">
              <w:proofErr w:type="spellStart"/>
              <w:r w:rsidR="00845ED9">
                <w:rPr>
                  <w:rStyle w:val="a7"/>
                </w:rPr>
                <w:t>Рерайт</w:t>
              </w:r>
              <w:proofErr w:type="spellEnd"/>
              <w:r w:rsidR="00845ED9">
                <w:rPr>
                  <w:rStyle w:val="a7"/>
                </w:rPr>
                <w:t xml:space="preserve"> текстов и </w:t>
              </w:r>
              <w:proofErr w:type="spellStart"/>
              <w:r w:rsidR="00845ED9">
                <w:rPr>
                  <w:rStyle w:val="a7"/>
                </w:rPr>
                <w:t>уникализация</w:t>
              </w:r>
              <w:proofErr w:type="spellEnd"/>
              <w:r w:rsidR="00845ED9">
                <w:rPr>
                  <w:rStyle w:val="a7"/>
                </w:rPr>
                <w:t xml:space="preserve"> 90 %</w:t>
              </w:r>
            </w:hyperlink>
          </w:p>
          <w:p w:rsidR="00845ED9" w:rsidRDefault="00033835">
            <w:pPr>
              <w:spacing w:line="360" w:lineRule="auto"/>
              <w:textAlignment w:val="baseline"/>
              <w:rPr>
                <w:rFonts w:ascii="Arial" w:hAnsi="Arial"/>
                <w:color w:val="444444"/>
                <w:sz w:val="28"/>
                <w:szCs w:val="28"/>
              </w:rPr>
            </w:pPr>
            <w:hyperlink r:id="rId10" w:history="1">
              <w:r w:rsidR="00845ED9">
                <w:rPr>
                  <w:rStyle w:val="a7"/>
                </w:rPr>
                <w:t>Написание по заказу контрольных, дипломов, диссертаций. . .</w:t>
              </w:r>
            </w:hyperlink>
          </w:p>
        </w:tc>
      </w:tr>
    </w:tbl>
    <w:p w:rsidR="00845ED9" w:rsidRDefault="00845E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Экономистами выделяются следующие причины низкого уровня развития банковской системы Российской Федерации: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Не уделяется должного внимания развитию банковской сферы вследствие того, что в России экономический пост поддерживается за счет </w:t>
      </w:r>
      <w:proofErr w:type="spellStart"/>
      <w:r>
        <w:rPr>
          <w:rFonts w:ascii="Times New Roman CYR" w:hAnsi="Times New Roman CYR" w:cs="Times New Roman CYR"/>
          <w:sz w:val="28"/>
          <w:szCs w:val="28"/>
        </w:rPr>
        <w:t>энергосырьевого</w:t>
      </w:r>
      <w:proofErr w:type="spellEnd"/>
      <w:r>
        <w:rPr>
          <w:rFonts w:ascii="Times New Roman CYR" w:hAnsi="Times New Roman CYR" w:cs="Times New Roman CYR"/>
          <w:sz w:val="28"/>
          <w:szCs w:val="28"/>
        </w:rPr>
        <w:t xml:space="preserve"> экспорта. До сих пор не сформулирована четкая модель построения необходимой государству банковской системы, не созданы благоприятные условий для ее развития.</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Поскольку капитализация российской банковской системы находится на недопустимо низком уровне, она не является </w:t>
      </w:r>
      <w:proofErr w:type="spellStart"/>
      <w:r>
        <w:rPr>
          <w:rFonts w:ascii="Times New Roman CYR" w:hAnsi="Times New Roman CYR" w:cs="Times New Roman CYR"/>
          <w:sz w:val="28"/>
          <w:szCs w:val="28"/>
        </w:rPr>
        <w:t>инвестиционно</w:t>
      </w:r>
      <w:proofErr w:type="spellEnd"/>
      <w:r>
        <w:rPr>
          <w:rFonts w:ascii="Times New Roman CYR" w:hAnsi="Times New Roman CYR" w:cs="Times New Roman CYR"/>
          <w:sz w:val="28"/>
          <w:szCs w:val="28"/>
        </w:rPr>
        <w:t xml:space="preserve"> привлекательной сферой.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Низкий уровень монетизации экономики тормозит ее развитие и развитие страны в целом.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Недостаточная развитость инфраструктуры оказания банковских услуг.</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Значительный удельный вес налично-денежного обращения и финансовых потоков государства, которые проходят вне банковской системы.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Отсутствие адекватной защиты коммерческих банков, которые являются центральным элементом всей кредитной системы страны, со стороны государства и т.д.</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банковская система Российской Федерации не в полной мере реализует свои стимулирующие возможности, не обладает достаточным ресурсным потенциалом, подвержена рискам, не имеет необходимого запаса прочности, что не позволяет ей активно воздействовать на развитие экономики.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данных условиях процесс управления банком является довольно сложным, а в качестве одной из важнейших его задач ставится обеспечение </w:t>
      </w:r>
      <w:r>
        <w:rPr>
          <w:rFonts w:ascii="Times New Roman CYR" w:hAnsi="Times New Roman CYR" w:cs="Times New Roman CYR"/>
          <w:sz w:val="28"/>
          <w:szCs w:val="28"/>
        </w:rPr>
        <w:lastRenderedPageBreak/>
        <w:t>соответствующего уровня ликвидности, представляющего собой возможность своевременно, в полном объеме и без потерь обеспечивать выполнение своих долговых и финансовых обязательств перед всеми контрагентами. Банк считается ликвидным при наличии доступа к средствам, которые могут быть привлечены по разумной цене и именно в тот момент, когда это действительно нужно. Это означает, что банк либо располагает необходимой суммой ликвидных средств, либо может быстро их получить с помощью займов или продажи активов.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Недостаточный уровень ликвидности часто является первым признаком серьезных финансовых затруднений банка. В такой ситуации он обычно начинает терять депозиты, что уменьшает его наличные средства и заставляет избавляться от наиболее ликвидных ценных бумаг.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Действенность процесса управления ликвидностью является тем стержнем, который определяет степень эффективности деятельности любой кредитной организации. Именно вокруг него строятся проблемы, связанные с надежностью, платежеспособностью, прибыльностью, а также вообще ресурсного менеджмента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управления ликвидностью получили широкое отражение как в экономических исследованиях, так и в периодической печати, особенно в последнее время, что обусловливает актуальность выбранной для написания темы.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работы является анализ особенностей управления ликвидностью в коммерческом банке.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поставленной цели был очерчен круг задач, заключающихся в следующем: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Рассмотрение теоретических основ процесса управления ликвидностью с позиций элементов и методов изучаемого процесса, а также </w:t>
      </w:r>
      <w:r>
        <w:rPr>
          <w:rFonts w:ascii="Times New Roman CYR" w:hAnsi="Times New Roman CYR" w:cs="Times New Roman CYR"/>
          <w:sz w:val="28"/>
          <w:szCs w:val="28"/>
        </w:rPr>
        <w:lastRenderedPageBreak/>
        <w:t>особенностей регулирования ликвидности со стороны Банка России.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Проведение анализа структуры и динамики активов баланса.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ликвидности в ОАО «Московский индустриальный банк».</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мероприятий по повышению уровня ликвидности анализируемого объекта.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для написания выпускной квалификационной работы был выбран ОАО «Московский индустриальный банк», который по данным Банка России, входит в список тридцати крупнейших и динамично развивающихся российских кредитных организаций и имеет лицензии на все виды банковской деятельности, в том числе профессионального участника рынка ценных бумаг.</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ставится непосредственно сам процесс управления ликвидностью в коммерческом банке.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и методологической основой выпускной квалификационной работы являются труды отечественных и зарубежных авторов, посвященные вопросам структуры и качества активов коммерческих организаций, ликвидности и платежеспособности банков, их надежности и т.д. Для решения поставленных задач будут использованы следующие методы исследования: монографический метод, метод анализа и сравнения, статистические и математические методы, которые помогут более объективно оценить сложившуюся в ОАО «Московский индустриальный банк» в отношении анализируемого вопроса.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результатов выпускной квалификационной работы заключается в том, что выводы и рекомендации могут быть использованы банками в процессе управления ликвидностью.</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tabs>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w:t>
      </w:r>
      <w:r>
        <w:rPr>
          <w:rFonts w:ascii="Times New Roman CYR" w:hAnsi="Times New Roman CYR" w:cs="Times New Roman CYR"/>
          <w:b/>
          <w:bCs/>
          <w:sz w:val="28"/>
          <w:szCs w:val="28"/>
        </w:rPr>
        <w:tab/>
        <w:t>Теоретические аспекты процесса управления ликвидности банка</w:t>
      </w:r>
    </w:p>
    <w:p w:rsidR="00303476" w:rsidRDefault="00303476">
      <w:pPr>
        <w:widowControl w:val="0"/>
        <w:tabs>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p>
    <w:p w:rsidR="00303476" w:rsidRDefault="00303476">
      <w:pPr>
        <w:widowControl w:val="0"/>
        <w:tabs>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w:t>
      </w:r>
      <w:r>
        <w:rPr>
          <w:rFonts w:ascii="Times New Roman CYR" w:hAnsi="Times New Roman CYR" w:cs="Times New Roman CYR"/>
          <w:b/>
          <w:bCs/>
          <w:sz w:val="28"/>
          <w:szCs w:val="28"/>
        </w:rPr>
        <w:tab/>
        <w:t>Понятие и характеристика элементов управления ликвидностью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Эволюция денежно-кредитных систем различных государств, нарастающие процессы глобализации свидетельствуют о том, что проблема ликвидности банков оказывает непосредственное влияние не только на экономическое развитие отдельных стран, но и на функционирование мировой финансово-кредитной системы. Мировой опыт показывает, что анализ состояния ликвидности является одной из ключевых задач банковского менеджмента. Однако некоторые коммерческие банки не уделяют должного внимания данной проблеме. Ошибки и просчеты в этой области могут привести к существенным негативным последствиям как для отдельного банка, так и для всей банковской системы.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 это один из ключевых терминов банковского бизнеса, довольно объемно и точно характеризующий не только финансово-хозяйственную деятельность кредитных организаций, но и характер их поведения на рынке. Управление ликвидностью, особенно в России, создают ту основу, на которой решаются основные вопросы банка, связанные, прежде всего, с получением прибыли.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Термин «ликвидность» происходит от латинского </w:t>
      </w:r>
      <w:proofErr w:type="spellStart"/>
      <w:r>
        <w:rPr>
          <w:rFonts w:ascii="Times New Roman CYR" w:hAnsi="Times New Roman CYR" w:cs="Times New Roman CYR"/>
          <w:sz w:val="28"/>
          <w:szCs w:val="28"/>
          <w:lang w:val="en-US"/>
        </w:rPr>
        <w:t>liquidus</w:t>
      </w:r>
      <w:proofErr w:type="spellEnd"/>
      <w:r>
        <w:rPr>
          <w:rFonts w:ascii="Times New Roman CYR" w:hAnsi="Times New Roman CYR" w:cs="Times New Roman CYR"/>
          <w:sz w:val="28"/>
          <w:szCs w:val="28"/>
        </w:rPr>
        <w:t xml:space="preserve">, что в переводе означает текучий, жидкий и характеризует легкость движения, быстроту перемещения. В современной экономической науке и хозяйственной практике данное понятие имеет весьма широкий спектр использования. Он корреспондируется с понятиями, касающимися конкретных объектов (товара, </w:t>
      </w:r>
      <w:r>
        <w:rPr>
          <w:rFonts w:ascii="Times New Roman CYR" w:hAnsi="Times New Roman CYR" w:cs="Times New Roman CYR"/>
          <w:sz w:val="28"/>
          <w:szCs w:val="28"/>
        </w:rPr>
        <w:lastRenderedPageBreak/>
        <w:t>активов, в том числе денег, ценных бумаг и т.д.) и субъектов экономики (банки, организации, предприятия), а также применяется при оценке балансов этих субъектов.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 ликвидности товара, то это обычно означает возможность достаточно быстрой его реализации без убытка для продавца.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 же называется ликвидным, если его можно обменять на товар или услугу при низких </w:t>
      </w:r>
      <w:proofErr w:type="spellStart"/>
      <w:r>
        <w:rPr>
          <w:rFonts w:ascii="Times New Roman CYR" w:hAnsi="Times New Roman CYR" w:cs="Times New Roman CYR"/>
          <w:sz w:val="28"/>
          <w:szCs w:val="28"/>
        </w:rPr>
        <w:t>трансакционных</w:t>
      </w:r>
      <w:proofErr w:type="spellEnd"/>
      <w:r>
        <w:rPr>
          <w:rFonts w:ascii="Times New Roman CYR" w:hAnsi="Times New Roman CYR" w:cs="Times New Roman CYR"/>
          <w:sz w:val="28"/>
          <w:szCs w:val="28"/>
        </w:rPr>
        <w:t xml:space="preserve"> издержках и при относительной определенности номинальной (без учета инфляции) стоимости этого актива.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Ликвидность активов определяют по степени сохранения способности к обмену. Ликвидность свойственна всем активам, однако разные активы обладают неодинаковой степенью ликвидности. Наиболее ликвидными активами считаются денежные средства, благодаря быстрой оборачиваемости и относительному сохранению стоимости. Они имеют собственную ценность и обладают абсолютным свойством быть непосредственно обмененными на другие ценности, товары, к тому же, они не меняют свою номинальную стоимость, поэтому их предпочитают накапливать по сравнению с другими активами. Считаем необходимым отметить, что для коммерческих банков существуют объективные ограничения в накоплении наличных денег, кроме того качество ликвидных наличных денег в кассе банка ниже, чем для безналичных, находящихся на их корреспондентском счете.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коммерческого банка в самом общем понимании означает возможность банка своевременно, в полном объеме и без потерь обеспечивать выполнение своих долговых и финансовых обязательств перед всеми контрагентами, а также предоставлять им средства в рамках взятых на себя обязательств, в том числе и в будущем.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ликвидностью коммерческого банка употребляется такой термин, как «ликвидность банковской системы», который затрагивает факторы, </w:t>
      </w:r>
      <w:r>
        <w:rPr>
          <w:rFonts w:ascii="Times New Roman CYR" w:hAnsi="Times New Roman CYR" w:cs="Times New Roman CYR"/>
          <w:sz w:val="28"/>
          <w:szCs w:val="28"/>
        </w:rPr>
        <w:lastRenderedPageBreak/>
        <w:t>обеспечивающие ликвидность как всей банковской системы страны в целом, так и отдельно взятого банка в частности.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ликвидности банковской системы зависит в первую очередь от степени развития денежно-кредитной сферы, способности Центрального банка Российской Федерации поддерживать ликвидность банков, а также от общего состояния экономики страны. Ликвидность банковской системы зависит от ликвидности каждого коммерческого банка, поскольку они связаны друг с другом через рынок межбанковских капиталов, депозитно-вкладной рынок, через расчетные и клиринговые центры. Банкротство одного или нескольких банков-заемщиков на рынке межбанковских кредитов вызывает сложности практически для всех банков кредиторов, что, в свою очередь, стимулирует механизм массовых банкротств.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ликвидности для банка связан с невозможностью быстрой конверсии финансовых активов в платежные средства по приемлемым ценам без потерь или привлечения дополнительных обязательств. Риск ликвидности имеет две составляющие: количественную и ценовую, подробная характеристика которых приведена в табл. 1.</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риска ликвидности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29"/>
        <w:gridCol w:w="5240"/>
      </w:tblGrid>
      <w:tr w:rsidR="00303476">
        <w:tc>
          <w:tcPr>
            <w:tcW w:w="43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Актив баланса</w:t>
            </w:r>
          </w:p>
        </w:tc>
        <w:tc>
          <w:tcPr>
            <w:tcW w:w="524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Пассив баланса</w:t>
            </w:r>
          </w:p>
        </w:tc>
      </w:tr>
      <w:tr w:rsidR="00303476">
        <w:tc>
          <w:tcPr>
            <w:tcW w:w="9569"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Количественный риск</w:t>
            </w:r>
          </w:p>
        </w:tc>
      </w:tr>
      <w:tr w:rsidR="00303476">
        <w:tc>
          <w:tcPr>
            <w:tcW w:w="43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Имеются ли фактически в наличии активы, которые можно было бы реализовать: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денежные и приравненные к ним средства;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ценные бумаги;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драгоценные металлы и природные драгоценные камни;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имущество и капитальные вложения банка</w:t>
            </w:r>
          </w:p>
        </w:tc>
        <w:tc>
          <w:tcPr>
            <w:tcW w:w="524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Есть ли возможность приобретения средств в необходимых размерах: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кредитов ЦБ РФ;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межбанковских кредитов;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средств на расчетные (текущие) и депозитные счета от юридических и физических лиц.</w:t>
            </w:r>
          </w:p>
        </w:tc>
      </w:tr>
      <w:tr w:rsidR="00303476">
        <w:tc>
          <w:tcPr>
            <w:tcW w:w="43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Риск управления активами - возможность потерь при реализации активов по заниженной цене или отсутствие активов для продажи</w:t>
            </w:r>
          </w:p>
        </w:tc>
        <w:tc>
          <w:tcPr>
            <w:tcW w:w="524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Риск управления пассивами - потенциальный риск приобретения средств по слишком высокой цене или недоступность средств.</w:t>
            </w:r>
          </w:p>
        </w:tc>
      </w:tr>
      <w:tr w:rsidR="00303476">
        <w:tc>
          <w:tcPr>
            <w:tcW w:w="9569"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Ценовой риск</w:t>
            </w:r>
          </w:p>
        </w:tc>
      </w:tr>
      <w:tr w:rsidR="00303476">
        <w:tc>
          <w:tcPr>
            <w:tcW w:w="43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Риск отрицательного изменения цены, по которой могут быть проданы активы: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невозможность продажи активов по номиналу или без скидок;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изменение процентных ставок относительно периода приобретения.</w:t>
            </w:r>
          </w:p>
        </w:tc>
        <w:tc>
          <w:tcPr>
            <w:tcW w:w="524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Увеличение процентных ставок, по которым могут быть привлечены пассивы: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увеличение ставки рефинансирования ЦБ РФ;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увеличение процента по межбанковскому кредитованию (МБК) из-за возросшего риска для кредитора и конкретных условий кредитования;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необходимость увеличения процента, уплачиваемого при привлечении средств физических и юридических лиц, для стимулирования более активного притока средств.</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Объективная оценка уровня ликвидности банка и эффективное управление ею относятся к наиболее важным аспектам деятельности коммерческого банка. Самым важным этапом в процессе управления ликвидностью является анализ.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 постоянно меняющихся условиях коммерческий банк мог стабильно и эффективно функционировать, руководство банка должно уделять большое внимание анализу показателей деятельности банка и проводимых операций.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ликвидности позволяет выявить потенциальные и реальные тенденции, свидетельствующие об ухудшении (улучшении) ликвидности баланса банка, провести анализ факторов, вызвавших развитие отрицательных (положительных) тенденций, и принять соответствующие меры по корректировке ситуации.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следующие основные цели анализа банковской ликвидности:</w:t>
      </w:r>
    </w:p>
    <w:p w:rsidR="00303476" w:rsidRDefault="0030347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определение фактической ликвидности и ее соответствия нормативным и оценочным показателям;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определение факторов, вызывающих отрицательные тенденции в ликвидности банка, и сведение их воздействия к минимуму;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выявление реальных или потенциальных отрицательных тенденций ухудшения ликвидности баланса банка и принятие соответствующих мер по их изменению;</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lastRenderedPageBreak/>
        <w:t></w:t>
      </w:r>
      <w:r>
        <w:rPr>
          <w:rFonts w:ascii="Symbol" w:hAnsi="Symbol" w:cs="Symbol"/>
          <w:sz w:val="20"/>
          <w:szCs w:val="20"/>
        </w:rPr>
        <w:tab/>
      </w:r>
      <w:r>
        <w:rPr>
          <w:rFonts w:ascii="Times New Roman CYR" w:hAnsi="Times New Roman CYR" w:cs="Times New Roman CYR"/>
          <w:sz w:val="28"/>
          <w:szCs w:val="28"/>
        </w:rPr>
        <w:t>выработка рекомендаций относительно управления банком и определение стратегии развития с учетом результатов анализа.</w:t>
      </w:r>
    </w:p>
    <w:p w:rsidR="00303476" w:rsidRDefault="00303476">
      <w:pPr>
        <w:widowControl w:val="0"/>
        <w:tabs>
          <w:tab w:val="left" w:pos="8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России не выработано единого подхода к анализу ликвидности банка, однако постоянно происходят разработка новых и совершенствование уже существующих методик. Несмотря на различия в конкретных методиках, основные направления и этапы анализа ликвидности едины, их последовательность отражена на рис. 1.</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каждом банке количество этапов анализа ликвидности банка и их формулировка могут отличаться, однако их суть и последовательность процессов анализа будут схожи. Методы и инструменты проведения </w:t>
      </w:r>
      <w:proofErr w:type="spellStart"/>
      <w:r>
        <w:rPr>
          <w:rFonts w:ascii="Times New Roman CYR" w:hAnsi="Times New Roman CYR" w:cs="Times New Roman CYR"/>
          <w:sz w:val="28"/>
          <w:szCs w:val="28"/>
        </w:rPr>
        <w:t>анализаликвидности</w:t>
      </w:r>
      <w:proofErr w:type="spellEnd"/>
      <w:r>
        <w:rPr>
          <w:rFonts w:ascii="Times New Roman CYR" w:hAnsi="Times New Roman CYR" w:cs="Times New Roman CYR"/>
          <w:sz w:val="28"/>
          <w:szCs w:val="28"/>
        </w:rPr>
        <w:t xml:space="preserve"> будут зависеть от размеров кредитной организации, специфики деятельности, квалификации специалистов и доступных средств автоматизированного расчета различных аналитических показателей.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59680" cy="30937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680" cy="3093720"/>
                    </a:xfrm>
                    <a:prstGeom prst="rect">
                      <a:avLst/>
                    </a:prstGeom>
                    <a:noFill/>
                    <a:ln>
                      <a:noFill/>
                    </a:ln>
                  </pic:spPr>
                </pic:pic>
              </a:graphicData>
            </a:graphic>
          </wp:inline>
        </w:drawing>
      </w:r>
    </w:p>
    <w:p w:rsidR="00303476" w:rsidRDefault="00303476">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w:t>
      </w:r>
      <w:r>
        <w:rPr>
          <w:rFonts w:ascii="Times New Roman CYR" w:hAnsi="Times New Roman CYR" w:cs="Times New Roman CYR"/>
          <w:sz w:val="28"/>
          <w:szCs w:val="28"/>
        </w:rPr>
        <w:tab/>
        <w:t>Основные этапы анализа ликвидности банка</w:t>
      </w: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45380" cy="24079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5380" cy="240792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w:t>
      </w:r>
      <w:r>
        <w:rPr>
          <w:rFonts w:ascii="Times New Roman CYR" w:hAnsi="Times New Roman CYR" w:cs="Times New Roman CYR"/>
          <w:sz w:val="28"/>
          <w:szCs w:val="28"/>
        </w:rPr>
        <w:tab/>
        <w:t>Макроэкономические факторы, воздействующие на ликвидность коммерческого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76800" cy="3299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29946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w:t>
      </w:r>
      <w:r>
        <w:rPr>
          <w:rFonts w:ascii="Times New Roman CYR" w:hAnsi="Times New Roman CYR" w:cs="Times New Roman CYR"/>
          <w:sz w:val="28"/>
          <w:szCs w:val="28"/>
        </w:rPr>
        <w:tab/>
        <w:t>Микроэкономические факторы, воздействующие на ликвидность коммерческого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Считаем целесообразным указать, что на ряду с остальными этапами, особое внимание следует уделить анализу факторов, оказывающих влияние на </w:t>
      </w:r>
      <w:r>
        <w:rPr>
          <w:rFonts w:ascii="Times New Roman CYR" w:hAnsi="Times New Roman CYR" w:cs="Times New Roman CYR"/>
          <w:sz w:val="28"/>
          <w:szCs w:val="28"/>
        </w:rPr>
        <w:lastRenderedPageBreak/>
        <w:t>ликвидность коммерческого банка, которые можно подразделить на внешние (макроэкономические) и внутренние (микроэкономические), наглядно отображенные на рис. 2-3.</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рис. 2 на ликвидность влияние оказывают следующие макроэкономические факторы: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Экономическая и политическая обстановка в стране.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Эффективность государственного регулирования и контроля.</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Возможность привлечения поддержки со стороны государства.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Развитие и эффективность сегментов финансового рынка.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 3схематично отображены микроэкономические факторы, влияющие на ликвидность коммерческого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Качество управления деятельностью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Рискованность активов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Доходность активов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Структура и диверсификация активов.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Достаточность собственного капитала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Качество и устойчивость ресурсной базы.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Степень зависимости от внешних источников заимствований.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Сбалансированность активов и пассивов по суммам и срокам.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67100" cy="3223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322326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w:t>
      </w:r>
      <w:r>
        <w:rPr>
          <w:rFonts w:ascii="Times New Roman CYR" w:hAnsi="Times New Roman CYR" w:cs="Times New Roman CYR"/>
          <w:sz w:val="28"/>
          <w:szCs w:val="28"/>
        </w:rPr>
        <w:tab/>
        <w:t>Элементы политики управления ликвидностью банка</w:t>
      </w: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Политика управления ликвидностью коммерческого банка является комплексным понятием, которое включает в себя набор взаимосвязанных инструментов, обеспечивающих эффективное решение поставленной задачи. Необходимо выделить базовые элементы политики управления ликвидностью, наглядно представленные на рис. 4.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характера бизнеса банка зависят многие факторы ликвидности, например, стабильность пассивной базы. Универсальные банки, привлекающие основную долю средств для осуществления активных операций от населения и корпоративных клиентов, в наибольшей степени подвержены риску несбалансированной ликвидности. Меньший риск потерь несут банки, привлекающие б</w:t>
      </w:r>
      <w:r>
        <w:rPr>
          <w:rFonts w:ascii="Times New Roman CYR" w:hAnsi="Times New Roman CYR" w:cs="Times New Roman CYR"/>
          <w:i/>
          <w:iCs/>
          <w:sz w:val="28"/>
          <w:szCs w:val="28"/>
        </w:rPr>
        <w:t>о</w:t>
      </w:r>
      <w:r>
        <w:rPr>
          <w:rFonts w:ascii="Times New Roman CYR" w:hAnsi="Times New Roman CYR" w:cs="Times New Roman CYR"/>
          <w:sz w:val="28"/>
          <w:szCs w:val="28"/>
        </w:rPr>
        <w:t>льшую часть ресурсов на международных рынках капитала (при этом они становятся зависимыми от процентного и валютного риска) или использующие средства своих акционеров.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моментом при выборе политики управления ликвидностью выступает масштаб банка и его организационная структура. Маленькие и средние банки совершают небольшое количество операций, что позволяет осуществлять более точный прогноз, но, не имея открытого доступа к рынку межбанковского кредитования, они ограничены в инструментах управления ликвидностью. Крупные и крупнейшие банки функционируют в условиях огромного числа операций и контрагентов, что определяет для них необходимость применения статистических методов анализа и прогнозирования ликвидности.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Отдельной разработки требует практика управления ликвидности в банках, имеющих широкую филиальную сеть. Более того, ряд российских банков имеет многоуровневую иерархию, когда одни филиалы организационно подчиняются другим. В научной литературе практически нет рекомендаций для данных участников по управлению ликвидности, в то же время задача для них </w:t>
      </w:r>
      <w:r>
        <w:rPr>
          <w:rFonts w:ascii="Times New Roman CYR" w:hAnsi="Times New Roman CYR" w:cs="Times New Roman CYR"/>
          <w:sz w:val="28"/>
          <w:szCs w:val="28"/>
        </w:rPr>
        <w:lastRenderedPageBreak/>
        <w:t xml:space="preserve">усложняется, поскольку требуется обеспечить ликвидность не только банка в целом, но и каждого филиала в отдельности. Здесь в дополнение к общей политике управления ликвидностью необходимо принятие внутренних нормативных документов, с одной стороны, регулирующих права и обязанности головной организации и филиалов, а с другой - обеспечивающих наиболее эффективное управление ликвидностью в целом по банку. </w:t>
      </w:r>
      <w:r>
        <w:rPr>
          <w:rFonts w:ascii="Times New Roman CYR" w:hAnsi="Times New Roman CYR" w:cs="Times New Roman CYR"/>
          <w:color w:val="FFFFFF"/>
          <w:sz w:val="28"/>
          <w:szCs w:val="28"/>
        </w:rPr>
        <w:t>ликвидность банк актив коммерческий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Необходимым элементом качественного управления ликвидностью является информационная прозрачность банковских операций для внутренних пользователей: прежде всего высшего руководства банка и подразделений, отвечающих за управление ресурсами. Это условие налагает ряд требований к учетно-аналитической системе, а также технологиям передачи и обработки информации. Они должны отвечать высоким критериям и обеспечивать оперативный сбор и формирование необходимой информации, а также поддерживать полную работоспособность в условиях динамичного расширения спектра операций и масштабов бизнеса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аспектом управления ликвидностью является квалификация персонала. Применяемые методики управления ликвидностью требуют абсолютного знания бизнеса банка, рыночной ситуации, способности прогнозирования динамики макроэкономического развития и т.п. Не обладая данными качествами, сотрудники банка будут не в состоянии обеспечить управление ликвидностью на высоком качественном уровне, что приведет как минимум к снижению рентабельности бизнеса, а как максимум к неплатежеспособности, потере деловой репутации и банкротству кредитной организации.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 учетом специфики банка формируется политика управления ликвидностью, под которой понимается совокупность метода и всех </w:t>
      </w:r>
      <w:r>
        <w:rPr>
          <w:rFonts w:ascii="Times New Roman CYR" w:hAnsi="Times New Roman CYR" w:cs="Times New Roman CYR"/>
          <w:sz w:val="28"/>
          <w:szCs w:val="28"/>
        </w:rPr>
        <w:lastRenderedPageBreak/>
        <w:t>ее элементов. Мы считаем необходимым включение в состав данной политики ряда определенных принципов, призванных обеспечить банку в условиях высокой динамики бизнеса устойчивую ликвидность и платежеспособность в сочетании с поддержанием рентабельности на собственный капитал. По нашему мнению, соблюдение данных принципов не накладывает ограничений на набор применяемых инструментов, позволяя выработать отвечающую задачам банка практику управления ликвидностью.</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модели управления ликвидностью предлагается применять следующую комбинацию методов. Самым оптимальным из существующих методов динамического анализа ликвидности является прогноз денежных потоков. При этом данный метод не дает комплексного решения исследуемой проблемы, поскольку не отражает всех возможных текущих и будущих обстоятельств функционирования банка. Кроме того, качество данного метода серьезно ухудшается по мере увеличения срока прогноза.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в рамках управления мгновенной (на 1 день) и среднесрочной ликвидностью (до 3-6 месяцев) наиболее оптимальным автору видится использование метода платежных потоков. Регулирование долгосрочной ликвидности целесообразно осуществлять посредством метода прогнозной структуры баланса. При этом необходимо обеспечить соблюдение требований нормативных документов Банка России.</w:t>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1.2 Особенности регулирования ликвидности коммерческих банков со стороны Центрального банка Российской Федерации</w:t>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Федеральным Законом РФ «О Центральном банке Российской Федерации» Банк России является органом регулирования и надзора за деятельностью кредитных организаций. Главной целью ЦБ РФ ставится </w:t>
      </w:r>
      <w:r>
        <w:rPr>
          <w:rFonts w:ascii="Times New Roman CYR" w:hAnsi="Times New Roman CYR" w:cs="Times New Roman CYR"/>
          <w:sz w:val="28"/>
          <w:szCs w:val="28"/>
        </w:rPr>
        <w:lastRenderedPageBreak/>
        <w:t>поддержка стабильности банковской системы и защита интересов вкладчиков и кредиторов.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Банк России должен решать следующие задачи: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предупреждать возможность возникновения системного банковского кризиса (путем снижения рисков утраты ликвидности отдельными кредитными институтами);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защищать интересы вкладчиков и кредиторов;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 допускать монополизации финансового капитала, поддерживать здоровую конкуренцию в банковском секторе экономики;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способствовать повышению эффективности банковского дела, росту профессионализма и добросовестности банковских работников.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16 января 2004 года введена в действие новая Инструкция № 110-И «Об обязательных нормативах банков», отличительной чертой которой от предыдущей стала близость ее содержания, методологии, числовых параметров к международным стандартам. В связи с этим все экономические нормативы, устанавливаемые указанной Инструкцией, носят обязательный характер. Старая Инструкция делила экономические нормативы на обязательные к исполнению и оценочные, которые рекомендовались коммерческим банкам «для расчетов при регулировании их активных и пассивных операций с точки зрения поддержания ликвидности». </w:t>
      </w:r>
      <w:proofErr w:type="spellStart"/>
      <w:r>
        <w:rPr>
          <w:rFonts w:ascii="Times New Roman CYR" w:hAnsi="Times New Roman CYR" w:cs="Times New Roman CYR"/>
          <w:sz w:val="28"/>
          <w:szCs w:val="28"/>
        </w:rPr>
        <w:t>Индикативность</w:t>
      </w:r>
      <w:proofErr w:type="spellEnd"/>
      <w:r>
        <w:rPr>
          <w:rFonts w:ascii="Times New Roman CYR" w:hAnsi="Times New Roman CYR" w:cs="Times New Roman CYR"/>
          <w:sz w:val="28"/>
          <w:szCs w:val="28"/>
        </w:rPr>
        <w:t xml:space="preserve"> этих оценочных нормативов нередко вела к их игнорированию, тогда как именно эти нормативы должны способствовать качественному управлению ликвидностью в коммерческих банках.</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Инструкция устанавливает следующие обязательные нормативы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Норматив мгновенной ликвидности (Н2) - регулирует риск потери банком ликвидности в течение одного операционного дня и определяет минимальное отношение суммы высоколиквидных активов банка к сумме </w:t>
      </w:r>
      <w:r>
        <w:rPr>
          <w:rFonts w:ascii="Times New Roman CYR" w:hAnsi="Times New Roman CYR" w:cs="Times New Roman CYR"/>
          <w:sz w:val="28"/>
          <w:szCs w:val="28"/>
        </w:rPr>
        <w:lastRenderedPageBreak/>
        <w:t>пассивов банка по счетам до востребования.</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2120" cy="335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212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(1)</w:t>
      </w:r>
    </w:p>
    <w:p w:rsidR="00303476" w:rsidRDefault="00303476">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ЛАМ- высоколиквидные активы - денежные средства в кассе, в пути, прочие денежные средства, драгоценные металлы, иностранная валюта, остатки денежных средств на корсчете в Центральном Банке, вложения в государственные ценные бумаги;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ОВМ- обязательства до востребования - в расчет включаются 20% от остатков средств по счетам до востребования (на расчетных и текущих счетах клиентов банка, остаткам средств местных бюджетов и на счетах бюджетных учреждений и организаций, счетах «лоро» вкладам и депозитам до востребования и векселям до востребования).</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Минимально допустимое значение норматива Н2 устанавливается в размере 15%.</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Норматив текущей ликвидности (Н3) - отношение суммы ликвидных активов к сумме обязательств банка по счетам до востребования и на срок до 30 дней. Поддержание показателя Н3 на требуемом уровне означает, что банк должен соблюдать строгое соответствие между сроками, на которые привлекаются средства вкладчиков, и сроками, на которые эти средства размещаются в активных операциях.</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06880" cy="3352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88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(2)</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ЛАТ- ликвидные активы - наличность и быстрореализуемые активы и аналогичных платежей в пользу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ОВТ- обязательства до востребования и на срок до 30 дней.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Минимально допустимое значение норматива Н3 устанавливается в размере 50%.</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Норматив долгосрочной ликвидности (Н4) - отношение выданных банком кредитов сроком погашения свыше года к капиталу банка, а также к обязательствам банка по депозитным счетам, полученным кредитам и другим долговым обязательствам на срок свыше года. По экономическому содержанию данный норматив имеет то же функциональное значение, что и Н2 и Н3, оценивает и контролирует деятельность банка по обеспечению им своей ликвидности и своевременному выполнению долговых обязательств.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03120" cy="327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КРД - кредиты, выданные банком, в рублях и иностранной валюте, с оставшимся сроком до погашения свыше года, а также 50% гарантий и поручительств, выданных банком сроком действия свыше года;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 - обязательства банка по депозитным счетам, кредитам, полученным банком, и обращающиеся на рынке долговые обязательства сроком погашения свыше года (в рублях и иностранной валюте);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собственные средства (капитал)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Максимально допустимое значение норматива Н4 устанавливается в размере 120%.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методов регулирования деятельности кредитных организаций, получившим развитие в последнее время, является ограничение крупных по величине рисков. В этой связи в Инструкции ЦБ РФ № 110-И предусмотрен ряд показателей (Н6, Н7, Н8, Н9, Н10, Н11), с помощью которых регулируются </w:t>
      </w:r>
      <w:r>
        <w:rPr>
          <w:rFonts w:ascii="Times New Roman CYR" w:hAnsi="Times New Roman CYR" w:cs="Times New Roman CYR"/>
          <w:sz w:val="28"/>
          <w:szCs w:val="28"/>
        </w:rPr>
        <w:lastRenderedPageBreak/>
        <w:t xml:space="preserve">максимальные размеры осуществления кредитными организациями отдельных активных, пассивных, </w:t>
      </w:r>
      <w:proofErr w:type="spellStart"/>
      <w:r>
        <w:rPr>
          <w:rFonts w:ascii="Times New Roman CYR" w:hAnsi="Times New Roman CYR" w:cs="Times New Roman CYR"/>
          <w:sz w:val="28"/>
          <w:szCs w:val="28"/>
        </w:rPr>
        <w:t>забалансовых</w:t>
      </w:r>
      <w:proofErr w:type="spellEnd"/>
      <w:r>
        <w:rPr>
          <w:rFonts w:ascii="Times New Roman CYR" w:hAnsi="Times New Roman CYR" w:cs="Times New Roman CYR"/>
          <w:sz w:val="28"/>
          <w:szCs w:val="28"/>
        </w:rPr>
        <w:t xml:space="preserve"> операций.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Центральным банком РФ установлен еще ряд показателей ликвидности, представленных в табл. (Приложение 1).</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изложенные подходы к определению и регулированию ликвидности банков, при которых оценку фактического уровня ликвидности проводят в сравнении с нормативным его значением, можно назвать общепринятыми в мировой практике.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отдельных случаях, когда уровень ликвидности коммерческого банка снижается, и банк не может самостоятельно решить возникшие финансовые проблемы, соответствующую экономическую помощь ему оказывает Центральный Банк РФ. В частности, Банк России может предоставлять коммерческим банкам во временное пользование на основе договора и с учетом причин ухудшения финансового положения средства из централизованных фондов, например, из фонда обязательных резервов. Одновременно Банк России предъявляет требования к коммерческим банкам о проведении мероприятий по финансовому оздоровлению банка - по увеличению собственных средств, восполнению утраченного капитала, изменению структуры активов и другое. Центральным Банком могут применяться и такие достаточно жесткие меры экономического воздействия, как взыскание денежного штрафа, повышение нормы обязательных резервов. Таким образом, в рамках эффективного управления банковским портфелем, которое состоит в постоянном отслеживании изменений рынка, своевременной и адекватной реакции на них, управление банковской ликвидностью связано, с одной стороны, с учетом воздействия на нее внешних и внутренних факторов, а с другой - с решением постоянной проблемы риск-доходность. Единого для всех коммерческих банков подхода, метода по управлению ликвидностью предложить невозможно. Каждый банк должен </w:t>
      </w:r>
      <w:r>
        <w:rPr>
          <w:rFonts w:ascii="Times New Roman CYR" w:hAnsi="Times New Roman CYR" w:cs="Times New Roman CYR"/>
          <w:sz w:val="28"/>
          <w:szCs w:val="28"/>
        </w:rPr>
        <w:lastRenderedPageBreak/>
        <w:t>выстраивать свою собственную модель управления ликвидностью. Знание уже существующих в банковской практике методов по управлению банковской ликвидностью позволяет использовать весь присущий им инструментарий в построении собственной модели управления ликвидностью, учитывая при этом специфические черты конкретного банка. Наиболее надежным подходом в процессе управления ликвидностью банка является постоянное поддержание соотношения между активами и пассивами с учетом сроков исполнения требований и обязательств по соответствующим статьям баланса. В процессе анализа выявляются отклонения и вносят изменения в политику управления активами и пассивами.</w:t>
      </w: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1.3 Методы управления ликвидностью коммерческого банка</w:t>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наиболее важных задач управления любым банков является обеспечение соответствующего уровня ликвидности. В любом случае необходимо поддерживать оптимальное соотношение между ликвидностью и прибыльностью, а также обеспечивать сбалансированность между сроками вложений по активам и пассивам. Что касается текущей ликвидности, то банк должен иметь достаточный запас ликвидных активов и ограничивать на вложения в </w:t>
      </w:r>
      <w:proofErr w:type="spellStart"/>
      <w:r>
        <w:rPr>
          <w:rFonts w:ascii="Times New Roman CYR" w:hAnsi="Times New Roman CYR" w:cs="Times New Roman CYR"/>
          <w:sz w:val="28"/>
          <w:szCs w:val="28"/>
        </w:rPr>
        <w:t>низколиквидные</w:t>
      </w:r>
      <w:proofErr w:type="spellEnd"/>
      <w:r>
        <w:rPr>
          <w:rFonts w:ascii="Times New Roman CYR" w:hAnsi="Times New Roman CYR" w:cs="Times New Roman CYR"/>
          <w:sz w:val="28"/>
          <w:szCs w:val="28"/>
        </w:rPr>
        <w:t xml:space="preserve"> активы.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банка ликвидными средствами складывается под влиянием спроса и предложения. Для большинства банков наибольший спрос на ликвидные средства возникает по следующим причинам: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снятие денег с депозитов клиентов;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заявки на получение кредитов;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оплата банковских расходов;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выплата дивидендов акционерам;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снятие средств с текущих счетов клиентов;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погашение задолженности по займам, которые данный банк получает от других банков или Центрального банка РФ;</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уплата налогов, операционные расходы и выплата дивидендов держателям акций.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предложения ликвидных средств являются:</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поступление средств и депозитов от клиентов;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погашение ранее выданных ссуд;</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продажа активов;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привлечение средств на денежном рынке;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доходы.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несовпадения сроков оборачиваемости активов и пассивов банк может подвергнуться риску, если значительное число вкладчиков пожелает изъять свои средства, а у банка не окажется достаточно ликвидных активов. Банк в данной ситуации сможет вернуть средства при условии, что будут привлечены дополнительные вклады под более высокие проценты или путем заимствований на межбанковском рынке.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различных источников спроса и предложения определяет нетто-ликвидную позицию конкретного банка (излишек или недостаток средств) в любой момент времени как разность между предложением ликвидности средств и спросом на них.</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Управление ликвидностью заключается в эффективном размещении имеющихся ресурсов, то есть максимизации возможных доходов при минимальном риске. Основной проблемой данного процесса является неопределенность будущей потребности в ликвидных активах, которую банк должен постоянно отслеживать и прогнозировать.</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Для того чтобы банк сохранял ликвидность, его активы должны удовлетворять ряду критериев: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определенная доля активов должна находиться в высоколиквидной форме, то есть должен поддерживаться достаточный уровень резервов первой очереди;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банк будет ликвидным, если часть активов можно продать или передать кредиторам в короткие сроки и с минимальными потерями (этому критерию удовлетворяют резервы второй очереди);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ликвидность банка можно планировать, воздействуя на срочную структуру активов банка, то есть применяя «ступенчатость» погашения кредитов и возврата инвестированных средств;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lastRenderedPageBreak/>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значительное воздействие на ликвидность банка оказывают факторы риска и качества активов банка, так как от этих показателей напрямую зависит своевременное погашение и возвращение средств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данных критериев и будут рассмотрены подходы к управлению ликвидностью коммерческого банка.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Существующие методы основаны на управлении только активами, только пассивами или теми и другими одновременно. Каждый из них имеет свои преимущества и недостатки, поэтому применяется в зависимости от содержания банковского портфеля, характера банковских операций и среды, в которой действует сам банк.</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мировой банковской практике управление активами осуществляется посредством ряда методов, к которым относятся: метод общего фонда средств, метод распределения активов (метод конверсии средств), метод управления резервной позицией и метод </w:t>
      </w:r>
      <w:proofErr w:type="spellStart"/>
      <w:r>
        <w:rPr>
          <w:rFonts w:ascii="Times New Roman CYR" w:hAnsi="Times New Roman CYR" w:cs="Times New Roman CYR"/>
          <w:sz w:val="28"/>
          <w:szCs w:val="28"/>
        </w:rPr>
        <w:t>секьютеризации</w:t>
      </w:r>
      <w:proofErr w:type="spellEnd"/>
      <w:r>
        <w:rPr>
          <w:rFonts w:ascii="Times New Roman CYR" w:hAnsi="Times New Roman CYR" w:cs="Times New Roman CYR"/>
          <w:sz w:val="28"/>
          <w:szCs w:val="28"/>
        </w:rPr>
        <w:t>.</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Сущность метода общего фонда средств заключается в том, что в процессе управления активами все виды ресурсов, к которым относятся вклады и остатки средств на счетах до востребования, срочные вклады и депозиты, уставный капитал и резервы, объединяются в совокупный фонд ресурсов коммерческого банка. Этот метод является одним из простейших для применения на практике. До тех пор, пока размещение средств соответствует достижению поставленных банком целей при проведении конкретных активных операций, не учитывается, за счет каких источников средств они осуществляются.</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размещении средств по данному принципу необходимо сформировать структуру активов таким образом, чтобы одновременно учитывать требования и ликвидности, и доходности, то есть банк должен предварительно установить определенные параметры и приоритеты своей деятельности.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этом, прежде всего, устанавливается доля высоколиквидных активов, которая поддет на проведение платежей по счетам клиентов, погашение обязательств до востребования и требований к банку, по которым наступает срок платежа и таким образом обеспечит мгновенную ликвидность. Банкам, у которых наблюдаются сильные колебания в ресурсной базе, необходимо создавать значительные резервы второй очереди, чтобы иметь возможность отвечать по внезапно возникающим обязательствам.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перечисленного выше, становится очевидно, что первичное размещение средств из общего фонда осуществляется на цели поддержания ликвидности. При определении доли высоколиквидных и ликвидных активов следует учитывать, что требования ликвидности противоречат прибыльности банка, и минимизировать их долю для достижения более высокой доходности.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распределение средств общего фонда проводится в соответствии с приоритетами банка и основными направлениями его деятельности. Этот этап заключается в формировании кредитного портфеля, что является одним из наиболее рискованных видов вложений по причине снижения ликвидности из-за потенциального невозврата основной суммы долга и процентов по ней.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размещения средств является формирование портфеля корпоративных ценных бумаг с различными сроками погашения. Этот вид вложений считается относительно более доходным, хотя и достаточно рискованным.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Долгосрочные вложения обычно связаны с операциями, имеющими стратегическое значение для банка, например, долевым участием в деятельности и уставных капиталах различных юридических лиц; они также обеспечивают формирование материально-технической базы банка. При направлении средств из общего фонда на эти вложения необходимо учитывать их значимость для </w:t>
      </w:r>
      <w:r>
        <w:rPr>
          <w:rFonts w:ascii="Times New Roman CYR" w:hAnsi="Times New Roman CYR" w:cs="Times New Roman CYR"/>
          <w:sz w:val="28"/>
          <w:szCs w:val="28"/>
        </w:rPr>
        <w:lastRenderedPageBreak/>
        <w:t>банка, а также крайне низкую ликвидность активов данной группы, что вызывает необходимость их ограничения.</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основных достоинств метода общего фонда средств можно выделить оптимальность его применения для банков при наличии излишних денежных средств, а также факт предоставления значительной свободы в выборе направлений вложения средств и видов проводимых банком активных операций, так как при этом часть имеющихся средств выделяется на поддержание ликвидности банка, а остальные средства вкладываются в операции, приносящие доход.</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метода заключается в том, что определение структуры размещения средств для поддержания прибыльности и ликвидности может быть достаточно субъективным, что может привести к дополнительному риску в деятельности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описанный метод применяется коммерческими банками чаще всего при наличии избытка денежных средств. Его недостатки частично преодолеваются при использовании более сложного, но и более эффективного метода - метода распределения активов или, как его еще называют, метода конверсии средств.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Метод распределения активов (метод конверсии средств). При его использовании учитывается зависимость ликвидных активов от источников привлеченных банком средств и устанавливается определенное соотношение между соответствующими видами активов и пассивов. При этом принимается во внимание тот факт, что средства из каждого источника с учетом их оборачиваемости требуют различного обеспечения и соответственно нормы обязательных резервов. В частности, по вкладам до востребования необходимо устанавливать более высокую норму обязательных резервов, чем по срочным вкладам.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сущность метода заключается в том, чтобы сопоставить по срокам и суммам активы и пассивы банка. Для этого источники и основные направления размещения средств группируются и сопоставляются таким образом, чтобы средства определенной группы пассивов размещались в определенные группы активов с учетом доходности вложений и поддержания ликвидности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модель предполагает, что количество ликвидных активов, необходимых банку для поддержания ликвидности, напрямую зависит от источников привлечения ресурсов. Поэтому при использовании этого метода поддержания ликвидности делается ставка на разграничение источников за счет которых будет проводиться дальнейшее формирование активов банка. Неустойчивые и краткосрочные пассивы с целью поддержания мгновенной текущей ликвидности направляются в высоколиквидные активы, а более долгосрочные - соответственно вкладываются в менее ликвидные, но более доходные активы, например, в кредитный портфель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метода конверсии средств отчасти решает проблему определения срочной структуры активов, возникающей при использовании метода общего фонда. Временная структура активов определяется исходя из имеющихся у банка ресурсов.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рассматриваемым методом определяется несколько центров ликвидности (прибыльности), которые еще иначе называют «банками внутри банка»: это счета до востребования, срочные обязательства банка (к примеру, срочные вклады и депозиты), уставный капитал и резервы.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каждого такого центра средства могут быть размещены только в определенные виды активов для того, чтобы обеспечить их ликвидность и прибыльность. Поскольку обязательства до востребования требуют самого высокого уровня обеспечения, то большая их часть направляется в резервы </w:t>
      </w:r>
      <w:r>
        <w:rPr>
          <w:rFonts w:ascii="Times New Roman CYR" w:hAnsi="Times New Roman CYR" w:cs="Times New Roman CYR"/>
          <w:sz w:val="28"/>
          <w:szCs w:val="28"/>
        </w:rPr>
        <w:lastRenderedPageBreak/>
        <w:t>первой очереди; другая существенная часть - в резервы второй очереди путем приобретения краткосрочных государственных ценных бумаг, и только относительно небольшая доля обязательств до востребования должна быть размещена в ссуды банка с крайне незначительными сроками возврата.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ликвидности для привлеченных средств, относящихся к центру срочных обязательств, будут ниже по сравнению с предыдущими, и поэтому основная часть этих средств размещается в ссуды банка, в меньшей мере - в первичные и вторичные резервы, в незначительной части - в ценные бумаги.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средства, принадлежащие центру (уставный капитал и резервы), в определенной мере могут вкладываться в здания, оборудование, технику и др. и частично в </w:t>
      </w:r>
      <w:proofErr w:type="spellStart"/>
      <w:r>
        <w:rPr>
          <w:rFonts w:ascii="Times New Roman CYR" w:hAnsi="Times New Roman CYR" w:cs="Times New Roman CYR"/>
          <w:sz w:val="28"/>
          <w:szCs w:val="28"/>
        </w:rPr>
        <w:t>низколиквидные</w:t>
      </w:r>
      <w:proofErr w:type="spellEnd"/>
      <w:r>
        <w:rPr>
          <w:rFonts w:ascii="Times New Roman CYR" w:hAnsi="Times New Roman CYR" w:cs="Times New Roman CYR"/>
          <w:sz w:val="28"/>
          <w:szCs w:val="28"/>
        </w:rPr>
        <w:t xml:space="preserve"> ценные бумаги, паи.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в качестве одного из достоинств данного метода можно выделить возможность точного установления доли высоколиквидных активов и вложения дополнительных ресурсов в высокодоходные активы, такие как кредиты предприятиям и организациям.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Метод управления резервной позицией является методом с большим количеством преимуществ и недостатков. Его содержание заключается в следующем: при определении резервной позиции вторичные резервы не формируются заранее, а прогнозируется количество фондов или ресурсов, которые можно привлечь на денежном рынке, чтобы профинансировать возможный отток денежных средств. В данном случае речь идет о приобретении средств на межбанковском рынке и заимствовании у Центрального банка РФ.</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этого метода сокращается доля низкодоходных и недоходных активов. Но даже в случае изъятия депозитов валюта баланса не уменьшится или уменьшится в меньшей степени, потому что к этому времени у банка будет привлечено достаточно дополнительных средств. Однако необходимо учитывать, что при этом может возникнуть риск ликвидности из-за </w:t>
      </w:r>
      <w:r>
        <w:rPr>
          <w:rFonts w:ascii="Times New Roman CYR" w:hAnsi="Times New Roman CYR" w:cs="Times New Roman CYR"/>
          <w:sz w:val="28"/>
          <w:szCs w:val="28"/>
        </w:rPr>
        <w:lastRenderedPageBreak/>
        <w:t>изменения процентных ставок.</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Метод </w:t>
      </w:r>
      <w:proofErr w:type="spellStart"/>
      <w:r>
        <w:rPr>
          <w:rFonts w:ascii="Times New Roman CYR" w:hAnsi="Times New Roman CYR" w:cs="Times New Roman CYR"/>
          <w:sz w:val="28"/>
          <w:szCs w:val="28"/>
        </w:rPr>
        <w:t>секьютеризации</w:t>
      </w:r>
      <w:proofErr w:type="spellEnd"/>
      <w:r>
        <w:rPr>
          <w:rFonts w:ascii="Times New Roman CYR" w:hAnsi="Times New Roman CYR" w:cs="Times New Roman CYR"/>
          <w:sz w:val="28"/>
          <w:szCs w:val="28"/>
        </w:rPr>
        <w:t xml:space="preserve">(от англ. </w:t>
      </w:r>
      <w:r>
        <w:rPr>
          <w:rFonts w:ascii="Times New Roman CYR" w:hAnsi="Times New Roman CYR" w:cs="Times New Roman CYR"/>
          <w:sz w:val="28"/>
          <w:szCs w:val="28"/>
          <w:lang w:val="en-US"/>
        </w:rPr>
        <w:t>Securities</w:t>
      </w:r>
      <w:r>
        <w:rPr>
          <w:rFonts w:ascii="Times New Roman CYR" w:hAnsi="Times New Roman CYR" w:cs="Times New Roman CYR"/>
          <w:sz w:val="28"/>
          <w:szCs w:val="28"/>
        </w:rPr>
        <w:t xml:space="preserve"> - ценные бумаги) предполагает вложение денежных средств в ценные бумаги, представляет собой один из наиболее продуктивных методов управления ликвидностью и позволяет решить задачи инвестирования и финансирования. Считается, что в основе развития ценных бумаг должен лежать эволюционный принцип, способствующий естественному развитию рынка в соответствии с его потребностями.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пассивами заключается в привлечении займов на межбанковском рынке (оперативное управление) и планомерном привлечении депозитов (стратегическое управление). В самом крайнем случае привлекаются краткосрочные займы у Центрального банка РФ. Кроме того, здесь используются операции РЕПО -соглашение о покупке ценных бумаг с последующим выкупом их по обусловленной цене.</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к межбанковскому кредитованию прибегают тогда, когда возникает дефицит денежных средств, например, на отчетные даты или на даты налоговых выплат. В то же время банк не может привлечь ресурсы на межбанковском рынке, если период кредитования превышает 7-10 дней.</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способов обеспечения ликвидности банка является привлечение «длинных» или долгосрочных вложений (депозитов), которые в условиях развитой рыночной экономики создаются за счет сбережений населения. Однако в результате потери доверия к банковской сфере весьма значительная часть сбережений населения находится не в форме рублевых банковских депозитов, а в валютной наличности, что не только сокращает кредитный потенциал банковской системы, но и снижает ее ликвидность.</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для управления ликвидностью с минимальными издержками банку необходим безупречный финансовый имидж, поскольку любая негативная </w:t>
      </w:r>
      <w:r>
        <w:rPr>
          <w:rFonts w:ascii="Times New Roman CYR" w:hAnsi="Times New Roman CYR" w:cs="Times New Roman CYR"/>
          <w:sz w:val="28"/>
          <w:szCs w:val="28"/>
        </w:rPr>
        <w:lastRenderedPageBreak/>
        <w:t>информация может привести к кризису ликвидности в результате массового изъятия наличности со стороны клиентов.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всего вышеперечисленного, можно прийти к выводу, что управление ликвидностью банка включает в себя поиск источников заемных средств, выбор среди них самых надежных с наиболее длительными сроками привлечения и установление наиболее оптимального соотношения между отдельными видами активов и пассивов, позволяющего банку выполнять свои обязательства перед кредиторами. Кроме того, при формировании кредитных средств, следует учитывать все издержки банка, связанные с привлечением средств, с тем расчетом, чтобы они имели минимально допустимый уровень, позволяющий не снижать норму прибыли при размещении этих средств в активные операции. Таким образом, процессы управления активами и пассивами взаимосвязаны, взаимозависимы и осуществляются одновременно.</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Рассмотренные выше методы управления ликвидностью банка через управление его активами позволяют в общих чертах определить возможные направления политики банка. В реальных условиях данные модели управления ликвидностью требуют существенных дополнений с учетом накопленного опыта управления банком, внесения поправок, отражающих современную и прогнозируемую конъюнктуру рынка, а также действия факторов, оказывающих влияние на деятельность коммерческого банка. Очевидно, что для принятия конкретных управленческих решений необходимо провести финансовый анализ, после чего данные модели должны быть существенно усложнены и дополнены.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 xml:space="preserve">Управление ликвидностью является комплексным процессом, затрагивающим как активы, так и пассивы банка. Для обеспечения ликвидности у коммерческого банка есть два основных вида источников - внутренние и внешние. Стратегия управления активами затрагивает управление внутренними источниками ликвидности, т.е. фактически сводятся к определению и </w:t>
      </w:r>
      <w:r>
        <w:rPr>
          <w:rFonts w:ascii="Times New Roman CYR" w:hAnsi="Times New Roman CYR" w:cs="Times New Roman CYR"/>
          <w:kern w:val="28"/>
          <w:sz w:val="28"/>
          <w:szCs w:val="28"/>
        </w:rPr>
        <w:lastRenderedPageBreak/>
        <w:t>поддержанию необходимой доли ликвидных активов в балансе банка. Так, поддержание ликвидности российских банков осуществляется в основном за счет внутренних источников. Такая ситуация типична для периода становления рыночной экономики, банковской системы, формирования финансовых рыночных инструментов. Такой же политики придерживаются небольшие банки - для них внутренние источники ликвидности являются основными, так как эти банки, не обладая значительным влиянием, достаточными собственными ресурсами и доступом к ресурсам финансового рынка, ограничены в возможностях поддержания ликвидности через обеспечение ее внешней составляющей.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Крупные же банки в силу своего положения, надежности и репутации имеют доступ к дополнительным источникам финансирования, т.е. к внешней ликвидности. Управление пассивами дает этим банкам возможность поддерживать свою ликвидность не за счет высоколиквидных активов в балансе, а за счет средств, привлекаемых от определенных операций.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Можно сделать вывод, что более эффективным путем поддержания уровня ликвидности является скоординированное управление активами и пассивами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Активные операции банка разнородны как по экономическому содержанию, так и сточки зрения их качества (возможных результатов для банка). Количественное соотношение между разными по качеству активами (вложениями средств) или, что то же самое, доли разных групп активов в их общем балансовом итоге называют структурой активов. Такая структура может быть рациональной или нерациональной, эффективной или неэффективной. Судить об этом принято по:</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 xml:space="preserve">степени диверсификации активов, структуре активов, в том числе по объектам или долям обеспеченных и </w:t>
      </w:r>
      <w:proofErr w:type="spellStart"/>
      <w:r>
        <w:rPr>
          <w:rFonts w:ascii="Times New Roman CYR" w:hAnsi="Times New Roman CYR" w:cs="Times New Roman CYR"/>
          <w:color w:val="000000"/>
          <w:kern w:val="28"/>
          <w:sz w:val="28"/>
          <w:szCs w:val="28"/>
        </w:rPr>
        <w:t>высокорисковых</w:t>
      </w:r>
      <w:proofErr w:type="spellEnd"/>
      <w:r>
        <w:rPr>
          <w:rFonts w:ascii="Times New Roman CYR" w:hAnsi="Times New Roman CYR" w:cs="Times New Roman CYR"/>
          <w:color w:val="000000"/>
          <w:kern w:val="28"/>
          <w:sz w:val="28"/>
          <w:szCs w:val="28"/>
        </w:rPr>
        <w:t xml:space="preserve"> (критических, </w:t>
      </w:r>
      <w:r>
        <w:rPr>
          <w:rFonts w:ascii="Times New Roman CYR" w:hAnsi="Times New Roman CYR" w:cs="Times New Roman CYR"/>
          <w:color w:val="000000"/>
          <w:kern w:val="28"/>
          <w:sz w:val="28"/>
          <w:szCs w:val="28"/>
        </w:rPr>
        <w:lastRenderedPageBreak/>
        <w:t>необеспеченных, сомнительных, безнадежных сточки зрения возврата) активов;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степени ликвидности разных групп активов;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тому, в какой мере соблюдает золотое правило соответствия структуры активов в структуре пассивов (по объемам и срокам привлеченных и размещенных средств).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Качество активов банка - это чрезвычайно подвижный параметр, в силу чего его необходимо постоянно анализировать и оценивать. При этом анализироваться должны: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1)</w:t>
      </w:r>
      <w:r>
        <w:rPr>
          <w:rFonts w:ascii="Times New Roman CYR" w:hAnsi="Times New Roman CYR" w:cs="Times New Roman CYR"/>
          <w:color w:val="000000"/>
          <w:kern w:val="28"/>
          <w:sz w:val="28"/>
          <w:szCs w:val="28"/>
        </w:rPr>
        <w:tab/>
        <w:t>динамика объемов и качественный состав баланса, в том числе:</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активов производительных (прежде всего операции с клиентами);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активов непроизводительных;</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Symbol" w:hAnsi="Symbol" w:cs="Symbol"/>
          <w:color w:val="000000"/>
          <w:kern w:val="28"/>
          <w:sz w:val="28"/>
          <w:szCs w:val="28"/>
        </w:rPr>
        <w:t></w:t>
      </w:r>
      <w:r>
        <w:rPr>
          <w:rFonts w:ascii="Symbol" w:hAnsi="Symbol" w:cs="Symbol"/>
          <w:color w:val="000000"/>
          <w:kern w:val="28"/>
          <w:sz w:val="28"/>
          <w:szCs w:val="28"/>
        </w:rPr>
        <w:tab/>
      </w:r>
      <w:r>
        <w:rPr>
          <w:rFonts w:ascii="Times New Roman CYR" w:hAnsi="Times New Roman CYR" w:cs="Times New Roman CYR"/>
          <w:color w:val="000000"/>
          <w:kern w:val="28"/>
          <w:sz w:val="28"/>
          <w:szCs w:val="28"/>
        </w:rPr>
        <w:t>затрат на собственные нужды (капитализированные активы, отвлеченные за счет прибыли средства, расходы и убытки);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2)</w:t>
      </w:r>
      <w:r>
        <w:rPr>
          <w:rFonts w:ascii="Times New Roman CYR" w:hAnsi="Times New Roman CYR" w:cs="Times New Roman CYR"/>
          <w:color w:val="000000"/>
          <w:kern w:val="28"/>
          <w:sz w:val="28"/>
          <w:szCs w:val="28"/>
        </w:rPr>
        <w:tab/>
        <w:t>динамика объема и состава привлеченных средств;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3)</w:t>
      </w:r>
      <w:r>
        <w:rPr>
          <w:rFonts w:ascii="Times New Roman CYR" w:hAnsi="Times New Roman CYR" w:cs="Times New Roman CYR"/>
          <w:color w:val="000000"/>
          <w:kern w:val="28"/>
          <w:sz w:val="28"/>
          <w:szCs w:val="28"/>
        </w:rPr>
        <w:tab/>
        <w:t>динамика объема и состава собственных средств.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 xml:space="preserve">Такой анализ позволяет выявить важные тенденции в жизни банка (в разрезе укрупненных статей его баланса) и определить, за счет каких операций возросла или уменьшилась прибыльность (убыточность); оценить изменение собственного капитала и </w:t>
      </w:r>
      <w:proofErr w:type="spellStart"/>
      <w:r>
        <w:rPr>
          <w:rFonts w:ascii="Times New Roman CYR" w:hAnsi="Times New Roman CYR" w:cs="Times New Roman CYR"/>
          <w:color w:val="000000"/>
          <w:kern w:val="28"/>
          <w:sz w:val="28"/>
          <w:szCs w:val="28"/>
        </w:rPr>
        <w:t>иммобилизированных</w:t>
      </w:r>
      <w:proofErr w:type="spellEnd"/>
      <w:r>
        <w:rPr>
          <w:rFonts w:ascii="Times New Roman CYR" w:hAnsi="Times New Roman CYR" w:cs="Times New Roman CYR"/>
          <w:color w:val="000000"/>
          <w:kern w:val="28"/>
          <w:sz w:val="28"/>
          <w:szCs w:val="28"/>
        </w:rPr>
        <w:t xml:space="preserve"> активов; проследить рост (снижение) привлеченных средств; выявить необходимость изменения (сохранения) приоритетов и способов деятельности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Другими словами, оценка портфеля банка (активов, повлеченных средств и собственного капитала) в динамике представляет собой оценку эффективности управления им своим балансом, то есть по сути, всем своим бизнесом, чему будет посвящена вторая глава выпускной квалификационной работы.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tabs>
          <w:tab w:val="left" w:pos="1134"/>
          <w:tab w:val="left" w:pos="2410"/>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w:t>
      </w:r>
      <w:r>
        <w:rPr>
          <w:rFonts w:ascii="Times New Roman CYR" w:hAnsi="Times New Roman CYR" w:cs="Times New Roman CYR"/>
          <w:b/>
          <w:bCs/>
          <w:sz w:val="28"/>
          <w:szCs w:val="28"/>
        </w:rPr>
        <w:tab/>
        <w:t>Анализ процесса управления ликвидностью в ОАО «Московский индустриальный банк»</w:t>
      </w:r>
    </w:p>
    <w:p w:rsidR="00303476" w:rsidRDefault="00303476">
      <w:pPr>
        <w:widowControl w:val="0"/>
        <w:tabs>
          <w:tab w:val="left" w:pos="1134"/>
          <w:tab w:val="left" w:pos="127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303476" w:rsidRDefault="00303476">
      <w:pPr>
        <w:widowControl w:val="0"/>
        <w:tabs>
          <w:tab w:val="left" w:pos="567"/>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2.1</w:t>
      </w:r>
      <w:r>
        <w:rPr>
          <w:rFonts w:ascii="Times New Roman CYR" w:hAnsi="Times New Roman CYR" w:cs="Times New Roman CYR"/>
          <w:b/>
          <w:bCs/>
          <w:sz w:val="28"/>
          <w:szCs w:val="28"/>
        </w:rPr>
        <w:tab/>
        <w:t>Общая характеристика деятельности коммерческого банка</w:t>
      </w:r>
    </w:p>
    <w:p w:rsidR="00303476" w:rsidRDefault="0030347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Акционерный коммерческий банк «Московский индустриальный банк» (открытое акционерное общество) является головной компанией Группы Московского индустриального банка. Он был учрежден 20 ноября 1990 года в форме товарищества с ограниченной ответственностью в соответствии с законодательством на базе Московского городского Управления Промстройбанка СССР. В апреле 1997 года Банк был реорганизован в акционерное общество открытого типа.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Приоритетным направлением бизнеса Банка является ориентация на поддержку реального сектора отечественной экономики, что во многом способствует укреплению позиций Банка как надежной и стабильной финансовой структуры России.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«Московский индустриальный банк» осуществляет деятельность на основании Генеральной лицензии на ведение банковской деятельности, выданной Центральным банком Российской Федерации 23 октября 1993 года (перерегистрирована 14 октября 2000 года), а также лицензии ЦБ РФ на проведение операций с драгоценными металлами, выданной 29 декабря 2000 года. Банк имеет лицензии на проведение операций с ценными бумагами и депозитарную деятельность, выданные Федеральной службой по финансовым рынкам 26 декабря 1997 года (перерегистрированы 7 декабря 2000 года), а также лицензию на осуществление деятельности по управлению ценными бумагами.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Обладая Генеральной лицензией Центрального Банка Российской Федерации,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xml:space="preserve">» оказывает разнообразные финансовые услуги </w:t>
      </w:r>
      <w:r>
        <w:rPr>
          <w:rFonts w:ascii="Times New Roman CYR" w:hAnsi="Times New Roman CYR" w:cs="Times New Roman CYR"/>
          <w:sz w:val="28"/>
          <w:szCs w:val="28"/>
        </w:rPr>
        <w:lastRenderedPageBreak/>
        <w:t>предприятиям всех отраслей экономики, местным органам власти и населению. Банк имеет значительный опыт обслуживания бюджетных организаций (счетов администраций и таможенных органов, учреждений и организаций социальной и жилищно-коммунальной сферы).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ОАО «Московский индустриальный банк», по данным Центрального банка Российской Федерации, входит в список тридцати крупнейших и динамично развивающихся российских кредитных организаций и имеет лицензии на все виды банковской деятельности, в том числе профессионального участника рынка ценных бумаг. Эксперты относят его к банкам с высоким уровнем кредитоспособности, с эффективной системой внутреннего контроля и управления рисками. Все это дает ему, в случае необходимости, возможность доступа практически ко всем инструментам господдержки.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Клиентскую базу Банка составляют свыше 67 тысяч предприятий и организаций, многие из которых являются гордостью российского промышленного и строительного комплексов. Клиенты не только получают услуги самого высокого качества, основанные на современных информационных технологиях, но и видят в Банке надежного стратегического партнера.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 участник Государственной поддержки малого и среднего предпринимательства по линии Российского банка развития. Обширные связи с зарубежными банками-корреспондентами и иностранными государственными страховыми агентствами позволяют Банку и его клиентам осуществлять эффективную внешнеэкономическую деятельность. Банк имеет партнерские отношения с организациями, оказывающие его клиентам услуги в области страхования, лизинговых операций, ведения реестров акционеров, аудита, оценки и т.д.</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xml:space="preserve">» принимает вклады у населения, предоставляет кредиты и </w:t>
      </w:r>
      <w:r>
        <w:rPr>
          <w:rFonts w:ascii="Times New Roman CYR" w:hAnsi="Times New Roman CYR" w:cs="Times New Roman CYR"/>
          <w:sz w:val="28"/>
          <w:szCs w:val="28"/>
        </w:rPr>
        <w:lastRenderedPageBreak/>
        <w:t xml:space="preserve">осуществляет переводы денежных средств на территории Российской Федерации и за ее пределами, проводит </w:t>
      </w:r>
      <w:proofErr w:type="spellStart"/>
      <w:r>
        <w:rPr>
          <w:rFonts w:ascii="Times New Roman CYR" w:hAnsi="Times New Roman CYR" w:cs="Times New Roman CYR"/>
          <w:sz w:val="28"/>
          <w:szCs w:val="28"/>
        </w:rPr>
        <w:t>валютообменные</w:t>
      </w:r>
      <w:proofErr w:type="spellEnd"/>
      <w:r>
        <w:rPr>
          <w:rFonts w:ascii="Times New Roman CYR" w:hAnsi="Times New Roman CYR" w:cs="Times New Roman CYR"/>
          <w:sz w:val="28"/>
          <w:szCs w:val="28"/>
        </w:rPr>
        <w:t xml:space="preserve"> операции, а также оказывает банковские услуги юридическим и физическим лицам, являющимся его клиентами.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11 января 2005 года ОАО «Московский индустриальный банк» является участником системы страхования вкладов, которая функционирует на основании федеральных законов и нормативно-правовых актов, а ее управление осуществляет Государственная корпорация «Агентство по страхованию вкладов». Страхование обеспечивает обязательства Банка по вкладам физических лиц на сумму до 700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для каждого физического лица в случае прекращения деятельности или отзыва лицензии ЦБ РФ на осуществление банковской деятельности.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и проанализируем динамику основных показателей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отражаемых в консолидированной отчетности за несколько лет и представленных в табл. 2.</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r>
        <w:rPr>
          <w:rFonts w:ascii="Times New Roman CYR" w:hAnsi="Times New Roman CYR" w:cs="Times New Roman CYR"/>
          <w:sz w:val="28"/>
          <w:szCs w:val="28"/>
        </w:rPr>
        <w:tab/>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тыс. руб. (2009-2011гг.)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13"/>
        <w:gridCol w:w="1016"/>
        <w:gridCol w:w="1016"/>
        <w:gridCol w:w="1116"/>
        <w:gridCol w:w="1138"/>
        <w:gridCol w:w="1138"/>
        <w:gridCol w:w="1016"/>
        <w:gridCol w:w="1016"/>
      </w:tblGrid>
      <w:tr w:rsidR="00303476">
        <w:tc>
          <w:tcPr>
            <w:tcW w:w="21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148" w:type="dxa"/>
            <w:gridSpan w:val="3"/>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76"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03476">
        <w:tc>
          <w:tcPr>
            <w:tcW w:w="21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c>
          <w:tcPr>
            <w:tcW w:w="21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303476">
        <w:tc>
          <w:tcPr>
            <w:tcW w:w="21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Активы</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70600246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91120757</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114035976</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20520511</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22915219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+29,06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+25,15</w:t>
            </w:r>
          </w:p>
        </w:tc>
      </w:tr>
      <w:tr w:rsidR="00303476">
        <w:tc>
          <w:tcPr>
            <w:tcW w:w="21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61845087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82155734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104606211</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20310647</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22450477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+32,84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+27,33</w:t>
            </w:r>
          </w:p>
        </w:tc>
      </w:tr>
      <w:tr w:rsidR="00303476">
        <w:tc>
          <w:tcPr>
            <w:tcW w:w="21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средства (капитал)</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8755159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8965023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9429765</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209864</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464742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+5,18</w:t>
            </w:r>
          </w:p>
        </w:tc>
      </w:tr>
      <w:tr w:rsidR="00303476">
        <w:tc>
          <w:tcPr>
            <w:tcW w:w="21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Вклады населения</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24027595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36164526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56877041</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12136931</w:t>
            </w:r>
          </w:p>
        </w:tc>
        <w:tc>
          <w:tcPr>
            <w:tcW w:w="11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20712515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+50,51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+57,27</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данным, отраженным в табличном виде, величина активов за период с 2009 по 2011 гг. возросла на 43435730 тыс. руб. (43435730 = = 20520511 + 22915219), увеличиваясь на 29,06% в 2010 году по сравнению с 2009 годом и на </w:t>
      </w:r>
      <w:r>
        <w:rPr>
          <w:rFonts w:ascii="Times New Roman CYR" w:hAnsi="Times New Roman CYR" w:cs="Times New Roman CYR"/>
          <w:sz w:val="28"/>
          <w:szCs w:val="28"/>
        </w:rPr>
        <w:lastRenderedPageBreak/>
        <w:t>25,15% в 2011 году по отношению к предыдущему году, и составила 114035976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показателя обязательств банка, то относительно него также наблюдается положительная динамика, однако с чуть более высокими значениями темпов прироста, чем у предыдущего критерия. За анализируемый период времени абсолютная величина обязательств увеличилась на 69,14% с 61845087 тыс. руб. до 104606211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Накопление банком капитала в виде собственных средств осуществляется не так стремительно, однако в 2011 году прирост более чем в 2 раза превышает прирост 2010 года по сравнению с предыдущим годом.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Примечательным является факт стремительного роста величины вкладов населения. В каждом последующем году средства физических лиц на счетах банка увеличиваются в размерах более, чем на 50%. И если в 2009 году значение данного показателя было на отметке 24027595 тыс. руб., то в 2011 году - 56877041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 2 можно построить диаграмму, на которой наглядно будут отображены не только соотношения рассматриваемых параметров, но и их динамика (рис. 5).</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10000" cy="2308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308860"/>
                    </a:xfrm>
                    <a:prstGeom prst="rect">
                      <a:avLst/>
                    </a:prstGeom>
                    <a:noFill/>
                    <a:ln>
                      <a:noFill/>
                    </a:ln>
                  </pic:spPr>
                </pic:pic>
              </a:graphicData>
            </a:graphic>
          </wp:inline>
        </w:drawing>
      </w:r>
    </w:p>
    <w:p w:rsidR="00303476" w:rsidRDefault="00303476">
      <w:pPr>
        <w:widowControl w:val="0"/>
        <w:tabs>
          <w:tab w:val="left" w:pos="15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5.</w:t>
      </w:r>
      <w:r>
        <w:rPr>
          <w:rFonts w:ascii="Times New Roman CYR" w:hAnsi="Times New Roman CYR" w:cs="Times New Roman CYR"/>
          <w:sz w:val="28"/>
          <w:szCs w:val="28"/>
        </w:rPr>
        <w:tab/>
        <w:t>Динамика основных показателей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о динамике основных показателей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нашли свое отражение на диаграмме, где наглядно продемонстрирован стремительный рост всех критериев, кроме собственных средств (капитала)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этот критерий более детально с позиций изучения не только его динамики, но также структуры и ее изменения (Приложение 2).</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таблицы можно выявить положительную тенденцию роста как капитала в целом, так и всех его составляющих, за исключением уставного капитала и собственных выкупленных акций, величина которых осталась неизменной за весь анализируемый период времени, и показателя фонда переоценки зданий, значение которого в 2010 году по сравнению с 2009 годом снизилось на 12,98% или 244407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величина капитала в 2010 году увеличилась по сравнению с 2009 годом на 2,40% и составила 8965023 тыс. руб. В 2011 году относительно предыдущего года наблюдался более значительный рост рассматриваемого параметра (5,18%), что привело к его увеличению на 464742 тыс. руб. Таким образом, собственные средства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были оценены в 9429765 тыс. руб. на конец анализируемого периода.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Примечательным является тот факт, что если в 2011 году по сравнению с 2010 годом структура капитала Банка осталась преимущественно постоянной, то в 2010 году относительно 2009 года произошли довольно весомые изменения. Так, доля фонда переоценки зданий снизилась на 5,78%, а удельный вес нераспределенной прибыли возрос на 6,25%. Изменения остальных составных частей собственных средств не столь существенны.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построим диаграмму, отражающую структуру капитала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по состоянию на 2011 год (рис. 6).</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рис. 6 становится очевидно, что наибольший удельный вес в составе капитала Банка принадлежит нераспределенной прибыли (39,61%), далее по весомости следует фонд переоценки зданий (33,70%) и уставный капитал (26,55%). Остальные показатели структуры слишком малы, и на их долю приходится не более 1%.</w:t>
      </w: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32860" cy="22174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2860" cy="221742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w:t>
      </w:r>
      <w:r>
        <w:rPr>
          <w:rFonts w:ascii="Times New Roman CYR" w:hAnsi="Times New Roman CYR" w:cs="Times New Roman CYR"/>
          <w:sz w:val="28"/>
          <w:szCs w:val="28"/>
        </w:rPr>
        <w:tab/>
        <w:t>Структура собственных средств (капитала)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в 2011 году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динамику и структуру привлеченных средств ОАО «Московский индустриальный банк», отраженную в таблице (Приложение 3).</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привлеченные ресурсы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в 2011 году составили 104606211 тыс. руб., увеличившись по сравнению с 2009 годом на 42761124 тыс. руб. (20310647+22450477 = 42761124) или на 69,14%. Это говорит о том, что, несмотря на сложную экономическую ситуацию в стране, Банк продолжает наращивать объемы привлеченных средств. На величину изучаемого критерия довольно существенное влияние в 2009-2010 гг. оказывали средства, выделяемые Центральным банком Российской Федерации. Однако в 2011 году ОАО «Московский индустриальный банк» оказался в состоянии нарастить число привлеченных средств, не прибегая к поддержке ЦБ РФ.</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удельный вес в общей сумме обязательств принадлежит средствам клиентов, которые увеличили свою долю с 85,01% в 2009 году до 93,28% в 2011 году. При этом если в 2009 году величина привлеченных средств клиентов в 52577202 тыс. руб. была достигнута преимущественно за счет частных компаний, то в 2010 году ситуация стала меняться в сторону смещения </w:t>
      </w:r>
      <w:r>
        <w:rPr>
          <w:rFonts w:ascii="Times New Roman CYR" w:hAnsi="Times New Roman CYR" w:cs="Times New Roman CYR"/>
          <w:sz w:val="28"/>
          <w:szCs w:val="28"/>
        </w:rPr>
        <w:lastRenderedPageBreak/>
        <w:t>приоритетов. В 2011 году для вкладов физических лиц составила 54,37% от общего объема привлеченных ресурсов.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 целом структуры рассматриваемого показателя, то существенные изменения наблюдаются в 2011 году. Это вызвано отсутствием кредитов, депозитов и прочих средств Центрального банка Российской Федерации, а также существенным ростом привлеченных средств физических лиц.</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построим диаграмму, которая наиболее наглядно отобразит структуру обязательств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(рис. 7).</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 7 видно, что наибольший удельный вес в составе привлеченных средств в 2011 году составили средства физических лиц (54,37%) и частных организаций (34,82%). Доли остальных составляющих не столь существенны. Наименьший же удельный вес - у текущих обязательств по налогу на прибыль.</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25240" cy="16002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1600200"/>
                    </a:xfrm>
                    <a:prstGeom prst="rect">
                      <a:avLst/>
                    </a:prstGeom>
                    <a:noFill/>
                    <a:ln>
                      <a:noFill/>
                    </a:ln>
                  </pic:spPr>
                </pic:pic>
              </a:graphicData>
            </a:graphic>
          </wp:inline>
        </w:drawing>
      </w:r>
    </w:p>
    <w:p w:rsidR="00303476" w:rsidRDefault="00303476">
      <w:pPr>
        <w:widowControl w:val="0"/>
        <w:tabs>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7.</w:t>
      </w:r>
      <w:r>
        <w:rPr>
          <w:rFonts w:ascii="Times New Roman CYR" w:hAnsi="Times New Roman CYR" w:cs="Times New Roman CYR"/>
          <w:sz w:val="28"/>
          <w:szCs w:val="28"/>
        </w:rPr>
        <w:tab/>
        <w:t>Структура привлеченных средств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в 2011 году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Уделив определенное внимание пассивам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считаем необходимым перейти к анализу структуры активов и динамики их изменения за последние 3 года (Приложение 4).</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анализируемый период времени наблюдается общее увеличение объема активов, величина которых изменилась с 70600246 тыс. руб. в 2009 году до </w:t>
      </w:r>
      <w:r>
        <w:rPr>
          <w:rFonts w:ascii="Times New Roman CYR" w:hAnsi="Times New Roman CYR" w:cs="Times New Roman CYR"/>
          <w:sz w:val="28"/>
          <w:szCs w:val="28"/>
        </w:rPr>
        <w:lastRenderedPageBreak/>
        <w:t>114035976 тыс. руб. в 2011 году. Однако в 2010 году по отношению к 2009 году рост составил 29,07%, а в 2011 году по отношению к предыдущему году - 25,15%, что на 3,92% меньше. Изменение произошло за счет снижения средств в кредитных организациях, инвестиционных ценных бумаг, а также дебиторской задолженности по договорам обратного РЕПО.</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структуры активов ОАО «Московский индустриальный банк», то каких либо существенных изменений за исследуемый период времени не наблюдается. Практически все изменения находятся на уровне 1-2%, что говорит о постоянности состава рассматриваемого показателя.</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Построим диаграмму, наглядно отображающую структуру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(рис. 8), согласно которой в 2011 году наибольший удельный вес занимают кредиты клиентам (65,01%), наименьшая же доля принадлежит средствам в кредитных организациях (1,09%).</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48100" cy="2217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2217420"/>
                    </a:xfrm>
                    <a:prstGeom prst="rect">
                      <a:avLst/>
                    </a:prstGeom>
                    <a:noFill/>
                    <a:ln>
                      <a:noFill/>
                    </a:ln>
                  </pic:spPr>
                </pic:pic>
              </a:graphicData>
            </a:graphic>
          </wp:inline>
        </w:drawing>
      </w:r>
    </w:p>
    <w:p w:rsidR="00303476" w:rsidRDefault="00303476">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w:t>
      </w:r>
      <w:r>
        <w:rPr>
          <w:rFonts w:ascii="Times New Roman CYR" w:hAnsi="Times New Roman CYR" w:cs="Times New Roman CYR"/>
          <w:sz w:val="28"/>
          <w:szCs w:val="28"/>
        </w:rPr>
        <w:tab/>
        <w:t>Структура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в 2011 году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xml:space="preserve">» имеет свою стратегию развития. Утвержденную Советом директоров, согласно которой основными целями ставятся: увеличение Банком своей стоимости путем дальнейшей капитализации, расширение и укрепление </w:t>
      </w:r>
      <w:r>
        <w:rPr>
          <w:rFonts w:ascii="Times New Roman CYR" w:hAnsi="Times New Roman CYR" w:cs="Times New Roman CYR"/>
          <w:sz w:val="28"/>
          <w:szCs w:val="28"/>
        </w:rPr>
        <w:lastRenderedPageBreak/>
        <w:t>своих позиций в регионах, а также создание собственной финансово-промышленной группы.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анализируемый период времени ОАО «Московский индустриальный банк» поднялся в рейтингах более чем на 10 позиций вверх по показателям роста капитала. Это свидетельствует о том, что объект исследования по объемам своих активных и пассивных операций является одним из крупнейших и надежных банков Российской Федерации.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2.2</w:t>
      </w:r>
      <w:r>
        <w:rPr>
          <w:rFonts w:ascii="Times New Roman CYR" w:hAnsi="Times New Roman CYR" w:cs="Times New Roman CYR"/>
          <w:b/>
          <w:bCs/>
          <w:sz w:val="28"/>
          <w:szCs w:val="28"/>
        </w:rPr>
        <w:tab/>
        <w:t>Анализ структуры и динамики активов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анализа структуры и динамики активов ОАО «Московский индустриальный банк» необходимо для выявления возможных проблем на ранних стадиях их формирования. Его результаты должны использоваться при определении режима надзора, включая решение о целесообразности проведения инспекционных проверок банков и определения их тематики, а также применяемых мер надзорного реагирования.</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в рамках анализа решается задача получения достоверной картины текущего финансового положения банка, существующих тенденций его изменения и прогноза на перспективу до 1 года, в том числе при возможном неблагоприятном изменении внешних условий. Проведение эффективного анализа финансового состояния банка предполагает выполнение ряда условий. Ключевыми условиями являются достоверность и точность информации, используемой при анализе, а также его своевременность и завершенность. Отсутствие достоверных данных ведет к недооценке проблем банков, что может иметь опасные последствия для развития ситуации.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Достоверность предоставляемых банками отчетов, а также адекватность оценки принимаемых ими на себя рисков должна проверяться как в процессе </w:t>
      </w:r>
      <w:r>
        <w:rPr>
          <w:rFonts w:ascii="Times New Roman CYR" w:hAnsi="Times New Roman CYR" w:cs="Times New Roman CYR"/>
          <w:sz w:val="28"/>
          <w:szCs w:val="28"/>
        </w:rPr>
        <w:lastRenderedPageBreak/>
        <w:t>документарного надзора, так и в ходе инспекционных проверок, а результаты должны использоваться как важный источник информации при проведении анализа.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доходности активов является важнейшим направлением анализа качества управления активами банка, поскольку повышение их доходности, а значит, доходов и прибыли банка, является основной целью его деятельности. При этом между показателями риска и доходности существует прямая связь: чем выше доходность, тем, как правило, выше и риск.</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Активами, приносящими основной доход, являются краткосрочные и среднесрочные ссуды, средства, вложенные в операции с ценными бумагами, валютные операции.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Другие активы, представляющие собой </w:t>
      </w:r>
      <w:proofErr w:type="spellStart"/>
      <w:r>
        <w:rPr>
          <w:rFonts w:ascii="Times New Roman CYR" w:hAnsi="Times New Roman CYR" w:cs="Times New Roman CYR"/>
          <w:sz w:val="28"/>
          <w:szCs w:val="28"/>
        </w:rPr>
        <w:t>факторинговые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форфейтинговые</w:t>
      </w:r>
      <w:proofErr w:type="spellEnd"/>
      <w:r>
        <w:rPr>
          <w:rFonts w:ascii="Times New Roman CYR" w:hAnsi="Times New Roman CYR" w:cs="Times New Roman CYR"/>
          <w:sz w:val="28"/>
          <w:szCs w:val="28"/>
        </w:rPr>
        <w:t xml:space="preserve"> услуги, лизинг, участие в промышленном инвестировании, в деятельности других хозяйственных структур, средства, размещенные на корсчетах в банках, приносят менее значимые доходы (незначительные).</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имеющие постоянной доходности активы, но которые могут при определенных обстоятельствах приносить доход, следует выделить при анализе в отдельную группу. К ним относятся: просроченные ссуды (в рублях и валюте), векселя, не оплаченные в срок и опротестованные, а также все денежные средства в кассах банка (в рублях и валюте). Эти активы представляют собой существенный резерв при формировании доходов банка, а потому выявление и устранение причин, не позволяющих ему приносить доход, является важнейшей задачей анализа активов данной группы.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отвлеченные в расчеты, резервы, в том числе на счетах в Центральном банке Российской Федерации, внутрибанковские расчеты, дебиторская задолженность, как правило, вообще не приносят доходов.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последнюю группу активов образуют имущество банка и его расходы.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средства банка, в отличие от основных средств предприятия, не являются производительными, а значит, приносящими доход, тем не менее они являются условием получения этого дохода.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группировку активов по степени их доходности (Приложение 5).</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полученных в результате анализа данных можно отметить, что активы ОАО «Московский индустриальный банк» (валюта баланса) увеличились на 29,07% в 2010 году, в 2011 году увеличение произошло на 25,15%, то есть темп прироста снизился на 3,92%, как было уже выявлено в предыдущем разделе выпускной квалификационной работы.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изменения по всем составным частям структуры активов: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активам, не приносящим доход:</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2010 году - снижение на 374475 тыс. руб. (3,92%);</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2011 году - рост на 4069181 тыс. руб. (44,39%).</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их доля в 2011 году по отношению к 2009 году и снизилась с 13,52% до 11,61%, по сравнению с 2010 годом она увеличилась на 1,55%. Этот рост произошел преимущественно за счет увеличения величины прочих активов на 2100103 тыс. руб.</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активам, приносящим доход:</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2010 году - рост на 20593362 тыс. руб. (38,80%);</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2011 году - рост на 17659285 тыс.</w:t>
      </w:r>
      <w:r>
        <w:rPr>
          <w:rFonts w:ascii="Times New Roman CYR" w:hAnsi="Times New Roman CYR" w:cs="Times New Roman CYR"/>
          <w:vanish/>
          <w:sz w:val="28"/>
          <w:szCs w:val="28"/>
        </w:rPr>
        <w:t xml:space="preserve"> руб. (23,97%).</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их доля в 2010 году увеличилась на 5,67% по сравнению с 2009 годом. Однако в 2011 году она снизилась, пусть и не столь значительно, - на 0,76%. Тот факт, что удельный вес активов, приносящих доход, имеет тенденцию к росту свидетельствует о приоритетах размещения средств в доходные вложения и обеспечение наращивания объемов прибыли.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Сумма иммобилизованных средств (не участвующих в обеспечении </w:t>
      </w:r>
      <w:r>
        <w:rPr>
          <w:rFonts w:ascii="Times New Roman CYR" w:hAnsi="Times New Roman CYR" w:cs="Times New Roman CYR"/>
          <w:sz w:val="28"/>
          <w:szCs w:val="28"/>
        </w:rPr>
        <w:lastRenderedPageBreak/>
        <w:t>текущей финансовой деятельности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также увеличивалась на протяжении всего анализируемого периода: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2010 году - на 301624 тыс. руб. (3,78%);</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2011 году - на 1186753 тыс. руб. (14,32%).</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данных средств за период 2009-2011 гг. постепенно снижается с 11,30% в 2009 году до 8,30% в 2011 году, занимая все меньший удельный вес.</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на протяжении трех лет величина активов, приносящих доход, имела тенденцию к росту, хоть и немного снизилась в 2011 году, что является положительным моментом и говорит об улучшении управления активами в целом, хотя и указывает на наличие определенного рода проблем. Кредитная политика Банка направлена на удовлетворение потребностей населения, предприятий и организаций в заемных средствах, учитывая возросший спрос населения на услуги кредитования. Данная структура активов довольно эффективна и высоко диверсифицирована. Поскольку доля активов высока, это позволяет Банку извлечь максимальную выгоду из привлеченных ресурсов. Также следует отметить, что ОАО «Московский индустриальный банк» в достаточной мере создает эффективные, приносящие доход инструменты.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построим диаграмму, отражающую динамику структуры доходности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за период 2009-2011 гг.</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 наглядно демонстрирует, что наибольший удельный вес в структуре активов занимают именно активы, приносящие доход. Причем если в 2010 году был зафиксирован рост на уровне 5,67%, то в 2011 году доля этой составной части активов осталась практически на прежнем уровне.</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48100" cy="1341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341120"/>
                    </a:xfrm>
                    <a:prstGeom prst="rect">
                      <a:avLst/>
                    </a:prstGeom>
                    <a:noFill/>
                    <a:ln>
                      <a:noFill/>
                    </a:ln>
                  </pic:spPr>
                </pic:pic>
              </a:graphicData>
            </a:graphic>
          </wp:inline>
        </w:drawing>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w:t>
      </w:r>
      <w:r>
        <w:rPr>
          <w:rFonts w:ascii="Times New Roman CYR" w:hAnsi="Times New Roman CYR" w:cs="Times New Roman CYR"/>
          <w:sz w:val="28"/>
          <w:szCs w:val="28"/>
        </w:rPr>
        <w:tab/>
        <w:t>Динамика структуры доходности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считаем необходимым представить диаграмму изменения соотношения привлеченных и собственных средств ОАО «Московский индустриальный банк» (рис. 10).</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рис. 10, в анализируемом периоде величина привлеченных средств стремительно возрастает, что в первую очередь зависит от краткосрочных и среднесрочных депозитов и кредитов. При оценке соотношения собственных и привлеченных средств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необходимо учитывать, что это соотношение должно быть больше единицы.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40480" cy="19735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480" cy="1973580"/>
                    </a:xfrm>
                    <a:prstGeom prst="rect">
                      <a:avLst/>
                    </a:prstGeom>
                    <a:noFill/>
                    <a:ln>
                      <a:noFill/>
                    </a:ln>
                  </pic:spPr>
                </pic:pic>
              </a:graphicData>
            </a:graphic>
          </wp:inline>
        </w:drawing>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10.</w:t>
      </w:r>
      <w:r>
        <w:rPr>
          <w:rFonts w:ascii="Times New Roman CYR" w:hAnsi="Times New Roman CYR" w:cs="Times New Roman CYR"/>
          <w:sz w:val="28"/>
          <w:szCs w:val="28"/>
        </w:rPr>
        <w:tab/>
        <w:t>Динамика изменения соотношения собственных и привлеченных средств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546860" cy="3352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686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6860" cy="335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686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4480" cy="3352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448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приведенных выше расчетов, отношение собственных средств к привлеченным в анализируемом периоде времени меньше единицы; к тому же снижается от 2009 до 2011 года. Это означает, что банк проводит активные операции в основном за счет привлеченных средств, что является негативным моментом и увеличивает риск невозврата средств вкладчиков.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не все активы банка приносят доход, а лишь так называемые работающие (доходные), в ходе анализа целесообразно определить такой показатель, как доходность работающих активов. Проанализируем доходность основных работающих активов за 2009-2011 гг. (табл. 3).</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анализа доходности основных работающих активов банка за период 2009-2011 гг. показывают, что наибольшую доходность Банк получил от предоставленных кредитов клиентам: 17,90% - в 2009 году, 13,71% - в 2010 году, 12,38% - в 2011 году. Также довольно высокую доходность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получил от операций с торговыми ценными бумагами: 10,83% - в 2009 году, 9,31% - в 2010 году, 9,64% - в 2011 году. Менее значительные доходы получены от размещения средств в кредитных организациях, а наименьшую доходность приносят инвестиционные ценные бумаги (менее 1%).</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Следующей характеристикой качества активов ОАО «Московский индустриальный банк» является их ликвидность. По мере снижения способности активов обращаться в наличность их подразделяют на высоколиквидные, ликвидные, активы среднесрочной ликвидности и неликвидные активы. Чем выше риск, присущий активам, тем ниже их ликвидность.</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Проанализировав данные таблицы (Приложение 6), можно сделать вывод о том, что объем высоколиквидных активов в рассматриваемом периоде увеличился с 10653876 тыс. руб. в 2009 году до 13988658 тыс. руб. в 2011 году.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доходности основных работающих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17"/>
        <w:gridCol w:w="1284"/>
        <w:gridCol w:w="1939"/>
        <w:gridCol w:w="1875"/>
        <w:gridCol w:w="2054"/>
      </w:tblGrid>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доходов банка</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доходов за период,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активов</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Среднегодовая стоимость активов,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Доходность активов операций </w:t>
            </w:r>
            <w:r w:rsidR="00FA14CE">
              <w:rPr>
                <w:rFonts w:ascii="Microsoft Sans Serif" w:hAnsi="Microsoft Sans Serif" w:cs="Microsoft Sans Serif"/>
                <w:noProof/>
                <w:sz w:val="17"/>
                <w:szCs w:val="17"/>
              </w:rPr>
              <w:drawing>
                <wp:inline distT="0" distB="0" distL="0" distR="0">
                  <wp:extent cx="1074420" cy="3124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4420" cy="312420"/>
                          </a:xfrm>
                          <a:prstGeom prst="rect">
                            <a:avLst/>
                          </a:prstGeom>
                          <a:noFill/>
                          <a:ln>
                            <a:noFill/>
                          </a:ln>
                        </pic:spPr>
                      </pic:pic>
                    </a:graphicData>
                  </a:graphic>
                </wp:inline>
              </w:drawing>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303476">
        <w:tc>
          <w:tcPr>
            <w:tcW w:w="9569" w:type="dxa"/>
            <w:gridSpan w:val="5"/>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Доходы, полученные от операций с торговыми ценными бумагами</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363751</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Торговые ценные бумаги</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4479616</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10,83</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Проценты, полученные от размещения средств в кредитных организациях</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11737</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Средства в кредитных организациях</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202872</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7,71</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Проценты, полученные от предоставления кредитов клиентам</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5815848</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клиентам</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43322424</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17,90</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Доходы от инвестиционных ценных бумаг</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Инвестиционные ценные бумаги</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1390620</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9569" w:type="dxa"/>
            <w:gridSpan w:val="5"/>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Доходы, полученные от операций с торговыми ценными бумагами</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466329</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Торговые ценные бумаги</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6676176</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9,31</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Проценты, полученные от размещения средств в кредитных организациях</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59382</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Средства в кредитных организациях</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1938550</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4,08</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Проценты, полученные от предоставления кредитов клиентам</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6123674</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клиентам</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59554959</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13,71</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Доходы от инвестиционных ценных бумаг</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4559</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Инвестиционные ценные бумаги</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3223035</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303476">
        <w:tc>
          <w:tcPr>
            <w:tcW w:w="9569" w:type="dxa"/>
            <w:gridSpan w:val="5"/>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Доходы, полученные от операций с торговыми ценными бумагами</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571420</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Торговые ценные бумаги</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7899623</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9,64</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Проценты, полученные от размещения средств в кредитных организациях</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42514</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Средства в кредитных организациях</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1236332</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4,58</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Проценты, полученные от предоставления кредитов клиентам</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6883427</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клиентам</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74127761</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12,38</w:t>
            </w:r>
          </w:p>
        </w:tc>
      </w:tr>
      <w:tr w:rsidR="00303476">
        <w:tc>
          <w:tcPr>
            <w:tcW w:w="241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Доходы от инвестиционных ценных бумаг</w:t>
            </w:r>
          </w:p>
        </w:tc>
        <w:tc>
          <w:tcPr>
            <w:tcW w:w="128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1457</w:t>
            </w:r>
          </w:p>
        </w:tc>
        <w:tc>
          <w:tcPr>
            <w:tcW w:w="193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Инвестиционные ценные бумаги</w:t>
            </w:r>
          </w:p>
        </w:tc>
        <w:tc>
          <w:tcPr>
            <w:tcW w:w="1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3219872</w:t>
            </w:r>
          </w:p>
        </w:tc>
        <w:tc>
          <w:tcPr>
            <w:tcW w:w="20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0,06</w:t>
            </w:r>
          </w:p>
        </w:tc>
      </w:tr>
    </w:tbl>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Причем если увеличение в 2010 году по отношению к 2009 году оказалось на уровне 2,27%, то в 2011 году по сравнению с предыдущим годом - на уровне 28,39%, то есть значительно выше.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 этом удельный вес высоколиквидных и ликвидных активов претерпевал неоднозначные изменения. Что касается непосредственно высоколиквидных активов, то их доля снизилась с 15,09% в 2009 году до 11,96% в 2010 году, хотя в 2011 году наблюдалось незначительное ее увеличение на 0,31%.</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ликвидных активов зафиксирована немного иная картина. На протяжении всего периода исследования их удельный вес в составе совокупных активов, причем если в 2010 году по отношению к предыдущему году увеличение составило 1,09%, то в 2011 году - 5,04%.</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несмотря на этот факт, изменение доли совокупности высоколиквидных и ликвидных активов в общем составе активов имеет тенденцию, характерную для высоколиквидных активов, то есть снижение в 2010 году и увеличение в 2011 году.</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отметить, что табл. 3 была составлена не только для оценки ситуации с высоколиквидными и ликвидными активами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xml:space="preserve">», а также с целью формирования информационной базы для проведения анализа ликвидности Банка, поскольку в ней отражены не только активы по степени их ликвидности, но и другие показатели, значения которых потребуются для </w:t>
      </w:r>
      <w:r>
        <w:rPr>
          <w:rFonts w:ascii="Times New Roman CYR" w:hAnsi="Times New Roman CYR" w:cs="Times New Roman CYR"/>
          <w:sz w:val="28"/>
          <w:szCs w:val="28"/>
        </w:rPr>
        <w:lastRenderedPageBreak/>
        <w:t>расчета соответствующих коэффициентов.</w:t>
      </w:r>
    </w:p>
    <w:p w:rsidR="00303476" w:rsidRDefault="00303476">
      <w:pPr>
        <w:widowControl w:val="0"/>
        <w:tabs>
          <w:tab w:val="left" w:pos="1276"/>
        </w:tabs>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2.3</w:t>
      </w:r>
      <w:r>
        <w:rPr>
          <w:rFonts w:ascii="Times New Roman CYR" w:hAnsi="Times New Roman CYR" w:cs="Times New Roman CYR"/>
          <w:b/>
          <w:bCs/>
          <w:sz w:val="28"/>
          <w:szCs w:val="28"/>
        </w:rPr>
        <w:tab/>
        <w:t>Оценка ликвидности ОАО «</w:t>
      </w:r>
      <w:proofErr w:type="spellStart"/>
      <w:r>
        <w:rPr>
          <w:rFonts w:ascii="Times New Roman CYR" w:hAnsi="Times New Roman CYR" w:cs="Times New Roman CYR"/>
          <w:b/>
          <w:bCs/>
          <w:sz w:val="28"/>
          <w:szCs w:val="28"/>
        </w:rPr>
        <w:t>МИнБ</w:t>
      </w:r>
      <w:proofErr w:type="spellEnd"/>
      <w:r>
        <w:rPr>
          <w:rFonts w:ascii="Times New Roman CYR" w:hAnsi="Times New Roman CYR" w:cs="Times New Roman CYR"/>
          <w:b/>
          <w:bCs/>
          <w:sz w:val="28"/>
          <w:szCs w:val="28"/>
        </w:rPr>
        <w:t>»</w:t>
      </w:r>
    </w:p>
    <w:p w:rsidR="00303476" w:rsidRDefault="00303476">
      <w:pPr>
        <w:widowControl w:val="0"/>
        <w:tabs>
          <w:tab w:val="left" w:pos="1276"/>
        </w:tabs>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«Московский индустриальный банк» уделяет значительное внимание прогнозам минимально возможных нормативов ликвидности на каждую половину месяца, а также ежемесячному прогнозированию нормативов на отчетные даты.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Инструментами управления текущей ликвидностью является планирование по срокам и суммам совокупных потоков обязательств и требований Банка, резерв в виде портфеля высоколиквидных активов, пассивные межбанковские операции.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инструментом управления долгосрочной ликвидностью является планирование по срокам наиболее значительных денежных потоков, связанных с реализацией активов (в том числе долгосрочных вложений) и расчетам по обязательствам Банка на уровне каждой отдельной операции.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анализа состояния ликвидности с использованием показателей избытка (дефицита) ликвидности используются данные отчетной формы № 0409125 «Сведения об активах и пассивах по срокам востребования и погашения».</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по отчетной форме № 0409125 имеется дефицит ликвидности, то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может привести дополнительный анализ ликвидных активов, так как в указанной отчетной форме под ликвидными активами понимаются только активы, относящиеся к первой категории качества.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Предельные значения коэффициентов дефицита ликвидности, рассчитанные нарастающим итогом, устанавливаются по следующим срокам: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 «до востребования и на 1 день» до 5 дней;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от «до востребования и на 1 день» до 30 дней;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 «до востребования и на 1 день» до 1 года.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Предельные значения коэффициентов дефицита ликвидности утверждаются приказом.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2011 года случаев непокрытого дефицита ликвидности не имеется:</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все обязательства Банка по проведению платежей клиентов, состоящих на расчетно-кассовом обслуживании, исполнялись в установленные сроки и в полных суммах;</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все обязательства Банка перед контрагентами по собственным операциям исполнялись в установленные сроки и в полных суммах;</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все нормативы ликвидности на все отчетные даты не отклонялись за пределы допустимых значений;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значения коэффициентов дефицита ликвидности на все отчетные даты не превышали установленные предельные значения.</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публикуемой отчетности и целей анализа можно сформулировать систему аналитических коэффициентов. На основе приведенной ниже системы показателей можно получить общую картину эффективности деятельности и финансовой устойчивости банка. Принимая во внимание тот факт, что банки обязаны публиковать в средствах массовой информации данные по балансовому счету и отчету о прибылях и убытках, на основе вышеупомянутых сведений всегда можно предварительно оценить и выбрать лучшие среди функционирующих банков, используя предлагаемые коэффициенты, на примере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по формам бухгалтерской отчетности № 0409125, 0409806, 0409101, 0409134.</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достаточности капитала - </w:t>
      </w:r>
      <w:r>
        <w:rPr>
          <w:rFonts w:ascii="Times New Roman CYR" w:hAnsi="Times New Roman CYR" w:cs="Times New Roman CYR"/>
          <w:b/>
          <w:bCs/>
          <w:sz w:val="28"/>
          <w:szCs w:val="28"/>
        </w:rPr>
        <w:t>К1</w:t>
      </w:r>
      <w:r>
        <w:rPr>
          <w:rFonts w:ascii="Times New Roman CYR" w:hAnsi="Times New Roman CYR" w:cs="Times New Roman CYR"/>
          <w:sz w:val="28"/>
          <w:szCs w:val="28"/>
        </w:rPr>
        <w:t xml:space="preserve"> - показывает, какую долю </w:t>
      </w:r>
      <w:r>
        <w:rPr>
          <w:rFonts w:ascii="Times New Roman CYR" w:hAnsi="Times New Roman CYR" w:cs="Times New Roman CYR"/>
          <w:sz w:val="28"/>
          <w:szCs w:val="28"/>
        </w:rPr>
        <w:lastRenderedPageBreak/>
        <w:t>в структуре пассивов занимает собственный капитал банка. Чем выше его доля, тем надежнее и устойчивее работает банк. Уровень капитала считается достаточным, если обязательства банка составляют 80-90% валюты баланса. Минимальное значение показателя - 0,10.</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32660" cy="312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2660" cy="31242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(4)</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5980" cy="3048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59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Величины коэффициента говорят о том, что если в 2009 году у ОАО «Московский индустриальный банк» было достаточно собственных средств для исполнения своих обязательств перед вкладчиками, то в 2010-2011 гг. у банка наблюдается уже дефицит капитала. В пассиве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велика доля привлеченных средств, что говорит об успешной политике в сфере управления пассивами.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Доля уставного фонда в капитале банка - </w:t>
      </w:r>
      <w:r>
        <w:rPr>
          <w:rFonts w:ascii="Times New Roman CYR" w:hAnsi="Times New Roman CYR" w:cs="Times New Roman CYR"/>
          <w:b/>
          <w:bCs/>
          <w:sz w:val="28"/>
          <w:szCs w:val="28"/>
        </w:rPr>
        <w:t>К2</w:t>
      </w:r>
      <w:r>
        <w:rPr>
          <w:rFonts w:ascii="Times New Roman CYR" w:hAnsi="Times New Roman CYR" w:cs="Times New Roman CYR"/>
          <w:sz w:val="28"/>
          <w:szCs w:val="28"/>
        </w:rPr>
        <w:t xml:space="preserve"> - определяет, в какой степени капитал банка сформирован из средств учредителей и характеризует эффективность работы банка. Сумма средств, инвестируемых в развитие банка, должна, по крайней мере, равняться взносам учредителей. Минимальное значение показателя - 0,15, максимальное - 0,50.</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1100" cy="30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(5)</w:t>
      </w: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011680" cy="3048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406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40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Значения К2 удовлетворяют указанным выше ограничениям.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Уровень доходных активов - </w:t>
      </w:r>
      <w:r>
        <w:rPr>
          <w:rFonts w:ascii="Times New Roman CYR" w:hAnsi="Times New Roman CYR" w:cs="Times New Roman CYR"/>
          <w:b/>
          <w:bCs/>
          <w:sz w:val="28"/>
          <w:szCs w:val="28"/>
        </w:rPr>
        <w:t>К3</w:t>
      </w:r>
      <w:r>
        <w:rPr>
          <w:rFonts w:ascii="Times New Roman CYR" w:hAnsi="Times New Roman CYR" w:cs="Times New Roman CYR"/>
          <w:sz w:val="28"/>
          <w:szCs w:val="28"/>
        </w:rPr>
        <w:t xml:space="preserve"> - показывает, какую долю в активах занимают доходные активы. Поскольку практически все активы являются рискованными, их чрезвычайно высокая доля увеличивает неустойчивость банка и риски неплатежей как по текущим операциям, так и по своим обязательствам. Вместе с тем размер доходных активов должен быть достаточным для безубыточности работы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Считается нормой, если доля активов составляет 65-75%. Она может быть и ниже, но при условии, что доходы банка превышают его расходы.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5636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63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(6)</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9550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удельный вес активов соответствовал установленным нормам, а в 2010-2011 гг. уже превышал ограничивающую величину.</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о том, что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xml:space="preserve">» имеет значительную долю ликвидных активов. Это указывает на относительно невысокий уровень управления активами и ликвидностью.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обязательные нормативы деятельности ОАО «Московский индустриальный банк» за 2009-2011 гг. (табл.4).</w:t>
      </w:r>
    </w:p>
    <w:p w:rsidR="00303476" w:rsidRDefault="00303476">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w:t>
      </w:r>
    </w:p>
    <w:p w:rsidR="00303476" w:rsidRDefault="00303476">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Обязательные нормативы деятельности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9"/>
        <w:gridCol w:w="1265"/>
        <w:gridCol w:w="766"/>
        <w:gridCol w:w="766"/>
        <w:gridCol w:w="766"/>
        <w:gridCol w:w="879"/>
        <w:gridCol w:w="879"/>
        <w:gridCol w:w="879"/>
      </w:tblGrid>
      <w:tr w:rsidR="00303476">
        <w:tc>
          <w:tcPr>
            <w:tcW w:w="4634"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Обязательные нормативы деятельности</w:t>
            </w:r>
          </w:p>
        </w:tc>
        <w:tc>
          <w:tcPr>
            <w:tcW w:w="2298" w:type="dxa"/>
            <w:gridSpan w:val="3"/>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637" w:type="dxa"/>
            <w:gridSpan w:val="3"/>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r>
      <w:tr w:rsidR="00303476">
        <w:tc>
          <w:tcPr>
            <w:tcW w:w="4634"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 xml:space="preserve"> 2009</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2009</w:t>
            </w:r>
          </w:p>
        </w:tc>
      </w:tr>
      <w:tr w:rsidR="00303476">
        <w:tc>
          <w:tcPr>
            <w:tcW w:w="4634"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достаточности собственных средств (капитала) банка</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Н1 (</w:t>
            </w:r>
            <w:r>
              <w:rPr>
                <w:rFonts w:ascii="Times New Roman CYR" w:hAnsi="Times New Roman CYR" w:cs="Times New Roman CYR"/>
                <w:sz w:val="20"/>
                <w:szCs w:val="20"/>
                <w:lang w:val="en-US"/>
              </w:rPr>
              <w:t>min 10%)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12,40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9,84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8,27</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-4,13</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мгновенной ликвидности банка</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Н2 (</w:t>
            </w:r>
            <w:r>
              <w:rPr>
                <w:rFonts w:ascii="Times New Roman CYR" w:hAnsi="Times New Roman CYR" w:cs="Times New Roman CYR"/>
                <w:sz w:val="20"/>
                <w:szCs w:val="20"/>
                <w:lang w:val="en-US"/>
              </w:rPr>
              <w:t>min 1</w:t>
            </w:r>
            <w:r>
              <w:rPr>
                <w:rFonts w:ascii="Times New Roman CYR" w:hAnsi="Times New Roman CYR" w:cs="Times New Roman CYR"/>
                <w:sz w:val="20"/>
                <w:szCs w:val="20"/>
              </w:rPr>
              <w:t>5</w:t>
            </w:r>
            <w:r>
              <w:rPr>
                <w:rFonts w:ascii="Times New Roman CYR" w:hAnsi="Times New Roman CYR" w:cs="Times New Roman CYR"/>
                <w:sz w:val="20"/>
                <w:szCs w:val="20"/>
                <w:lang w:val="en-US"/>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41,94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34,80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34,59</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-7,14</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-0,21</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-7,35</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текущей ликвидности банка</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Н3 (</w:t>
            </w:r>
            <w:r>
              <w:rPr>
                <w:rFonts w:ascii="Times New Roman CYR" w:hAnsi="Times New Roman CYR" w:cs="Times New Roman CYR"/>
                <w:sz w:val="20"/>
                <w:szCs w:val="20"/>
                <w:lang w:val="en-US"/>
              </w:rPr>
              <w:t xml:space="preserve">min </w:t>
            </w:r>
            <w:r>
              <w:rPr>
                <w:rFonts w:ascii="Times New Roman CYR" w:hAnsi="Times New Roman CYR" w:cs="Times New Roman CYR"/>
                <w:sz w:val="20"/>
                <w:szCs w:val="20"/>
              </w:rPr>
              <w:t>5</w:t>
            </w:r>
            <w:r>
              <w:rPr>
                <w:rFonts w:ascii="Times New Roman CYR" w:hAnsi="Times New Roman CYR" w:cs="Times New Roman CYR"/>
                <w:sz w:val="20"/>
                <w:szCs w:val="20"/>
                <w:lang w:val="en-US"/>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89,85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80,11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91,87</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-9,74</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+11,76</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+2,02</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долгосрочной ликвидности банка</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Н4 (</w:t>
            </w:r>
            <w:r>
              <w:rPr>
                <w:rFonts w:ascii="Times New Roman CYR" w:hAnsi="Times New Roman CYR" w:cs="Times New Roman CYR"/>
                <w:sz w:val="20"/>
                <w:szCs w:val="20"/>
                <w:lang w:val="en-US"/>
              </w:rPr>
              <w:t>max 1</w:t>
            </w:r>
            <w:r>
              <w:rPr>
                <w:rFonts w:ascii="Times New Roman CYR" w:hAnsi="Times New Roman CYR" w:cs="Times New Roman CYR"/>
                <w:sz w:val="20"/>
                <w:szCs w:val="20"/>
              </w:rPr>
              <w:t>2</w:t>
            </w:r>
            <w:r>
              <w:rPr>
                <w:rFonts w:ascii="Times New Roman CYR" w:hAnsi="Times New Roman CYR" w:cs="Times New Roman CYR"/>
                <w:sz w:val="20"/>
                <w:szCs w:val="20"/>
                <w:lang w:val="en-US"/>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43,77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45,50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53,12</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+9,35</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Максимальный размер риска на одного заемщика или группу связанных заемщиков</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Н6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25</w:t>
            </w:r>
            <w:r>
              <w:rPr>
                <w:rFonts w:ascii="Times New Roman CYR" w:hAnsi="Times New Roman CYR" w:cs="Times New Roman CYR"/>
                <w:sz w:val="20"/>
                <w:szCs w:val="20"/>
                <w:lang w:val="en-US"/>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23,83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25,78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26,31</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+2,48</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Максимальный размер крупных кредитных рисков</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Н7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80</w:t>
            </w:r>
            <w:r>
              <w:rPr>
                <w:rFonts w:ascii="Times New Roman CYR" w:hAnsi="Times New Roman CYR" w:cs="Times New Roman CYR"/>
                <w:sz w:val="20"/>
                <w:szCs w:val="20"/>
                <w:lang w:val="en-US"/>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606,23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821,74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968,52</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+215,51</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+146,78</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+362,29</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совокупной величины кредитов и займов, выданных акционерам банка</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Н9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5</w:t>
            </w:r>
            <w:r>
              <w:rPr>
                <w:rFonts w:ascii="Times New Roman CYR" w:hAnsi="Times New Roman CYR" w:cs="Times New Roman CYR"/>
                <w:sz w:val="20"/>
                <w:szCs w:val="20"/>
                <w:lang w:val="en-US"/>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16,61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23,39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30,59</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+6,78</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+13,98</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Отношение совокупной величины кредитов и займов, выданных инсайдерам, к капиталу</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Н10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3</w:t>
            </w:r>
            <w:r>
              <w:rPr>
                <w:rFonts w:ascii="Times New Roman CYR" w:hAnsi="Times New Roman CYR" w:cs="Times New Roman CYR"/>
                <w:sz w:val="20"/>
                <w:szCs w:val="20"/>
                <w:lang w:val="en-US"/>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5,82</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+4,33</w:t>
            </w:r>
          </w:p>
        </w:tc>
      </w:tr>
      <w:tr w:rsidR="00303476">
        <w:tc>
          <w:tcPr>
            <w:tcW w:w="336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использования собственных средств банка для приобретения долей других юридических лиц</w:t>
            </w:r>
          </w:p>
        </w:tc>
        <w:tc>
          <w:tcPr>
            <w:tcW w:w="12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Н12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25</w:t>
            </w:r>
            <w:r>
              <w:rPr>
                <w:rFonts w:ascii="Times New Roman CYR" w:hAnsi="Times New Roman CYR" w:cs="Times New Roman CYR"/>
                <w:sz w:val="20"/>
                <w:szCs w:val="20"/>
                <w:lang w:val="en-US"/>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bl>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Ликвидность банка характеризуется нормативами Н2, Н3, Н4. Анализ нормативов ликвидности показывает следующее: все нормативы 2009-2011 гг. соответствуют введенным для них ограничениям.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нормативы мгновенной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удовлетворяют требованию минимальности, поскольку превышают значение в 15%. Однако за анализируемый период наблюдается снижение данного показателя с 41,94% в 2009 году до 34,59% в 2011 году. Причем изменение в 2010 году по отношению к 2009 году составило -7,14%, а в 2011 году по сравнению с 2010 годом снижение было зафиксировано на уровне 0,21%.</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норматива текущей ликвидности банка, то полученные значения за 2009-2011 гг. превышают уровень в 50%. Сложно выявить однозначную тенденцию в отношении данного критерия, поскольку в 2010 году наблюдается снижение с 89,85% до 80,11% на 9,74%, а в 2011 году - увеличение на 11,76% до 91,87%. В целом за исследуемый период рост составил 2,02% с 89,85% до 91,87%.</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норматива долгосрочной ликвидности также можно прийти к выводу, что полученные величины параметров удовлетворяют предъявляемым требованиям и не превышают 120%. При этом зафиксирован рост данного норматива с течением времени: с 43,77% в 2009 году до 53,12% в 2011 году.</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остальных обязательных нормативов, представленных в табл. 10, отдельного внимания заслуживают нормативы, характеризующие максимальные размеры рисков, как на одного заемщика и группу заемщиков, так и крупных кредитных рисков. Примечательным является тот факт, что если в 2009 году значение обозначенных выше критериев удовлетворяли пограничным величинам нормативов, то в 2010-2011 гг. они стали превышать ограничения, что является негативным моментов повышения банковских рисков.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Доходность какого-либо актива складывается из совокупности </w:t>
      </w:r>
      <w:r>
        <w:rPr>
          <w:rFonts w:ascii="Times New Roman CYR" w:hAnsi="Times New Roman CYR" w:cs="Times New Roman CYR"/>
          <w:sz w:val="28"/>
          <w:szCs w:val="28"/>
        </w:rPr>
        <w:lastRenderedPageBreak/>
        <w:t>действующих на данный момент договоров (кредитные, депозитные). Поэтому считаем необходимым рассмотреть еще несколько коэффициентов.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размещения платных средств - </w:t>
      </w:r>
      <w:r>
        <w:rPr>
          <w:rFonts w:ascii="Times New Roman CYR" w:hAnsi="Times New Roman CYR" w:cs="Times New Roman CYR"/>
          <w:b/>
          <w:bCs/>
          <w:sz w:val="28"/>
          <w:szCs w:val="28"/>
        </w:rPr>
        <w:t>К4</w:t>
      </w:r>
      <w:r>
        <w:rPr>
          <w:rFonts w:ascii="Times New Roman CYR" w:hAnsi="Times New Roman CYR" w:cs="Times New Roman CYR"/>
          <w:sz w:val="28"/>
          <w:szCs w:val="28"/>
        </w:rPr>
        <w:t xml:space="preserve"> - определяет долю платных привлеченных ресурсов, направляемых в доходные (платные) операции. Если коэффициент более 1,0-1,2, это свидетельствует о том, что часть платных ресурсов используется не по назначению. Они отвлекаются либо на собственные нужды, либо в доходные операции, что приводит к образованию убытков в банке. Максимальное значение коэффициента - 1,2.</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47900" cy="3276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790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(7)</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следует учитывать, что к платным привлеченным средствам относятся межбанковские кредиты, а также вклады физических и юридических лиц.</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5980" cy="3048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59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значения коэффициента получены довольно высокие, они все же удовлетворяют требованиям ограничений. Это указывает на относительно стабильное положение банка в настоящий момент и в будущем.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мгновенной ликвидности - </w:t>
      </w:r>
      <w:r>
        <w:rPr>
          <w:rFonts w:ascii="Times New Roman CYR" w:hAnsi="Times New Roman CYR" w:cs="Times New Roman CYR"/>
          <w:b/>
          <w:bCs/>
          <w:sz w:val="28"/>
          <w:szCs w:val="28"/>
        </w:rPr>
        <w:t>К5</w:t>
      </w:r>
      <w:r>
        <w:rPr>
          <w:rFonts w:ascii="Times New Roman CYR" w:hAnsi="Times New Roman CYR" w:cs="Times New Roman CYR"/>
          <w:sz w:val="28"/>
          <w:szCs w:val="28"/>
        </w:rPr>
        <w:t xml:space="preserve"> - позволяет оценить долю обязательств банка, которая может быть погашена по первому требованию за счет ликвидных активов «первой очереди». Максимальное значение </w:t>
      </w:r>
      <w:r>
        <w:rPr>
          <w:rFonts w:ascii="Times New Roman CYR" w:hAnsi="Times New Roman CYR" w:cs="Times New Roman CYR"/>
          <w:sz w:val="28"/>
          <w:szCs w:val="28"/>
        </w:rPr>
        <w:lastRenderedPageBreak/>
        <w:t>коэффициенту не устанавливается.</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86000" cy="3352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(8)</w:t>
      </w: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5980" cy="3048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59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Значения данного показателя говорят о том, что банк не имеет достаточного количества средств для немедленного погашения всех требований клиентов мгновенно рассчитаться по своим обязательствам.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общей ликвидности - </w:t>
      </w:r>
      <w:r>
        <w:rPr>
          <w:rFonts w:ascii="Times New Roman CYR" w:hAnsi="Times New Roman CYR" w:cs="Times New Roman CYR"/>
          <w:b/>
          <w:bCs/>
          <w:sz w:val="28"/>
          <w:szCs w:val="28"/>
        </w:rPr>
        <w:t>К6</w:t>
      </w:r>
      <w:r>
        <w:rPr>
          <w:rFonts w:ascii="Times New Roman CYR" w:hAnsi="Times New Roman CYR" w:cs="Times New Roman CYR"/>
          <w:sz w:val="28"/>
          <w:szCs w:val="28"/>
        </w:rPr>
        <w:t xml:space="preserve"> - характеризует сбалансированность активной и пассивной политики банка для достижения оптимальной ликвидности.</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47900" cy="3352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790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(9)</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ликвидным активам в данном случае следует отнести денежные средства, вложения в торговые ценные бумаги, ссудная и приравненная к ней задолженность, ценные бумаги, имеющиеся в наличии для продажи, вложения в ценные бумаги, удерживаемые до погашения. Учитывая этот факт, рассчитаем значения коэффициента за 2009-2011 гг.</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64080" cy="30480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40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125980" cy="30480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59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российской практики коэффициент общей ликвидности, превышающий 20%, является приемлемым. На практике такое бывает при сильных и устойчивых связях банка со своими клиентами: как с вкладчиками, так и заемщиками. Можно сделать вывод, что незначительное количество активов переведено из ликвидных в доходные, что указывает на низкий уровень риска неисполнения своих обязательств перед вкладчиками.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рентабельности - </w:t>
      </w:r>
      <w:r>
        <w:rPr>
          <w:rFonts w:ascii="Times New Roman CYR" w:hAnsi="Times New Roman CYR" w:cs="Times New Roman CYR"/>
          <w:b/>
          <w:bCs/>
          <w:sz w:val="28"/>
          <w:szCs w:val="28"/>
        </w:rPr>
        <w:t>К7</w:t>
      </w:r>
      <w:r>
        <w:rPr>
          <w:rFonts w:ascii="Times New Roman CYR" w:hAnsi="Times New Roman CYR" w:cs="Times New Roman CYR"/>
          <w:sz w:val="28"/>
          <w:szCs w:val="28"/>
        </w:rPr>
        <w:t xml:space="preserve"> - позволяет определить уровень рентабельности всех активов. Как отмечалось выше, низкая норма прибыли может быть результатом консервативной ссудной и инвестиционной политики, а также следствием чрезмерных операционных расходов. Преимущественно отношение прибыли к активам обусловлено эффективной деятельностью банка и высокими ставками доходов от активов. В последнем случае банк, возможно, подвергает себя значительному риску, что не всегда является негативным моментом, поскольку, вероятно, банк удачно распоряжается своими активами. Но при этом не исключаются и крупные потери. Минимальное значение этого коэффициента - 0,005, максимальное - 0,05.</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35380" cy="3048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53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(10)</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коэффициент можно считать по различным видам прибыли. В нашем исследовании уделим внимание:</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прибыли до налогообложения:</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065020" cy="304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3360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чистой прибыли: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5980" cy="3048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59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 случае расчета коэффициента рентабельности по чистой прибыли и по прибыли до налогообложения наблюдается идентичная проблема: если в 2009-2010 гг. величина данного критерия удовлетворяет установленным ограничениям, то в 2011 году - ниже минимальной величины. Отсюда можно сделать вывод о том, что банк имеет невысокую рентабельность.</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рентабельности основного фонда - </w:t>
      </w:r>
      <w:r>
        <w:rPr>
          <w:rFonts w:ascii="Times New Roman CYR" w:hAnsi="Times New Roman CYR" w:cs="Times New Roman CYR"/>
          <w:b/>
          <w:bCs/>
          <w:sz w:val="28"/>
          <w:szCs w:val="28"/>
        </w:rPr>
        <w:t>К8</w:t>
      </w:r>
      <w:r>
        <w:rPr>
          <w:rFonts w:ascii="Times New Roman CYR" w:hAnsi="Times New Roman CYR" w:cs="Times New Roman CYR"/>
          <w:sz w:val="28"/>
          <w:szCs w:val="28"/>
        </w:rPr>
        <w:t xml:space="preserve"> - предназначен для оценки нормы прибыли на уставный фонд, то есть для определения эффективности использования средств собственников. Контрольное значение по данному счету установить сложно. Прежде всего, это связано с изменением экономической конъюнктуры и нормативными требованиями, устанавливаемыми ЦБ РФ. Минимальное и максимальное значения не определяются.</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84960" cy="3352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496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показатель можно считать по различным видам прибыли: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по прибыли до налогообложения:</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 чистой прибыли: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4060"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40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выше расчеты говорят о невысоких показателях рентабельности уставного фонда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рентабельности доходных активов - </w:t>
      </w:r>
      <w:r>
        <w:rPr>
          <w:rFonts w:ascii="Times New Roman CYR" w:hAnsi="Times New Roman CYR" w:cs="Times New Roman CYR"/>
          <w:b/>
          <w:bCs/>
          <w:sz w:val="28"/>
          <w:szCs w:val="28"/>
        </w:rPr>
        <w:t>К9</w:t>
      </w:r>
      <w:r>
        <w:rPr>
          <w:rFonts w:ascii="Times New Roman CYR" w:hAnsi="Times New Roman CYR" w:cs="Times New Roman CYR"/>
          <w:sz w:val="28"/>
          <w:szCs w:val="28"/>
        </w:rPr>
        <w:t xml:space="preserve"> - характеризует общую эффективность проводимых доходных операций. Очень высокое значение коэффициента указывает на рискованность проводимых банком сделок: преобладание высоколиквидных операций является потенциальной опасностью невозврата ссуд в банк. Очень низкая доходность свидетельствует о неумелом управлении активными операциями и может стать причиной убыточной работы банка.</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2120" cy="33528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212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065020" cy="304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57400" cy="304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74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нашем случае имеем дело с достаточно низкими значениями коэффициента, которые можно использовать для определения средней доходности всех вложений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дееспособности - </w:t>
      </w:r>
      <w:r>
        <w:rPr>
          <w:rFonts w:ascii="Times New Roman CYR" w:hAnsi="Times New Roman CYR" w:cs="Times New Roman CYR"/>
          <w:b/>
          <w:bCs/>
          <w:sz w:val="28"/>
          <w:szCs w:val="28"/>
        </w:rPr>
        <w:t>К10</w:t>
      </w:r>
      <w:r>
        <w:rPr>
          <w:rFonts w:ascii="Times New Roman CYR" w:hAnsi="Times New Roman CYR" w:cs="Times New Roman CYR"/>
          <w:sz w:val="28"/>
          <w:szCs w:val="28"/>
        </w:rPr>
        <w:t xml:space="preserve"> - позволяет оценить стабильность работы банка. Чтобы банк оставался жизнеспособным, расходы от операций и инвестиций должны покрываться за счет доходов, а если недостаточны, то вскоре к банка могут возникнуть проблемы. Максимальное значение коэффициента установлено на уровне 1,00.</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00200" cy="335280"/>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80260" cy="3048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02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020" cy="304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5980" cy="30480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59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данного коэффициента находится на довольно высоком уровне, доходы банка превышают его расходы, что свидетельствует о дееспособности коммерческой структуры.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Коэффициент дееспособности по валютным операциям - </w:t>
      </w:r>
      <w:r>
        <w:rPr>
          <w:rFonts w:ascii="Times New Roman CYR" w:hAnsi="Times New Roman CYR" w:cs="Times New Roman CYR"/>
          <w:b/>
          <w:bCs/>
          <w:sz w:val="28"/>
          <w:szCs w:val="28"/>
        </w:rPr>
        <w:t>К13</w:t>
      </w:r>
      <w:r>
        <w:rPr>
          <w:rFonts w:ascii="Times New Roman CYR" w:hAnsi="Times New Roman CYR" w:cs="Times New Roman CYR"/>
          <w:sz w:val="28"/>
          <w:szCs w:val="28"/>
        </w:rPr>
        <w:t xml:space="preserve"> - оценивает стабильность работы банка на валютном рынке. Минимальное и максимальное значения не устанавливаются.</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238500" cy="3352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500" cy="33528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30480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16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4060" cy="304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40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сделать вывод о том, что стабильность банка на валютном рынке положительна и банк получает доход.</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оценки основных коэффициентов, характеризующих эффективность деятельности банка, считаем необходимым провести анализ уровня достаточности капитала за 2009-2011 гг. (табл. 5).</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достаточности капитала является одним из основных показателей финансовой устойчивости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данных табл. 5, приходим к выводу, что достаточность капитала с течением времени снижается, и если в 2009 году </w:t>
      </w: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tabs>
          <w:tab w:val="left" w:pos="21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5.</w:t>
      </w:r>
    </w:p>
    <w:p w:rsidR="00303476" w:rsidRDefault="00303476">
      <w:pPr>
        <w:widowControl w:val="0"/>
        <w:tabs>
          <w:tab w:val="left" w:pos="21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уровня достаточности капитала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97"/>
        <w:gridCol w:w="916"/>
        <w:gridCol w:w="916"/>
        <w:gridCol w:w="916"/>
        <w:gridCol w:w="996"/>
        <w:gridCol w:w="996"/>
        <w:gridCol w:w="1016"/>
        <w:gridCol w:w="1016"/>
      </w:tblGrid>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748" w:type="dxa"/>
            <w:gridSpan w:val="3"/>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9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средства (капитал), тыс. руб.</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8755159</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8965023</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9429765</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+209864</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+464742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+5,18</w:t>
            </w:r>
          </w:p>
        </w:tc>
      </w:tr>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Фактическое значение достаточности собственных средств, %</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12,40</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9,84</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8,27</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Форматное значение достаточности собственных средств, %</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Резерв на возможные потери по ссудам, ссудной и приравненной к ней задолженности, тыс. руб.</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1717635</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2535964</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2539980</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-818329</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+4016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+47,64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+0,16</w:t>
            </w:r>
          </w:p>
        </w:tc>
      </w:tr>
      <w:tr w:rsidR="00303476">
        <w:tc>
          <w:tcPr>
            <w:tcW w:w="279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Резерв на возможные потери, тыс. руб.</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72597</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470374</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687532</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+937777</w:t>
            </w:r>
          </w:p>
        </w:tc>
        <w:tc>
          <w:tcPr>
            <w:tcW w:w="9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-217158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+547,92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+46,17</w:t>
            </w:r>
          </w:p>
        </w:tc>
      </w:tr>
    </w:tbl>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рассматриваемого показателя удовлетворяла форматному значению, то в 2010-2011 гг. уровень достаточности был ниже предельно минимального значения, несмотря на довольно существенный рост абсолютного значения самого показателя собственных средств.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анализа финансового состояния банка можно получить следующую информацию:</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соблюдение нормативов, установленных Центральным банком Российской Федерации;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итоги предварительной оценки ликвидности баланса;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дополнительные сведения, необходимые для оценки ликвидности и доходности.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данного анализа ставится обобщение его результатов и подготовка рекомендаций для принятия управленческих решений, направленных на </w:t>
      </w:r>
      <w:r>
        <w:rPr>
          <w:rFonts w:ascii="Times New Roman CYR" w:hAnsi="Times New Roman CYR" w:cs="Times New Roman CYR"/>
          <w:sz w:val="28"/>
          <w:szCs w:val="28"/>
        </w:rPr>
        <w:lastRenderedPageBreak/>
        <w:t>повышение эффективности работы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информацией для проведения анализа финансового состояния ОАО «Московский индустриальный банк» является его финансовая отчетность.</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о том, что по состоянию на дату проведения анализа у банка были соблюдены все нормативы ликвидности: мгновенной, текущей, долгосрочной.</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 числу показателей, характеризующих разные стороны ликвидности банковских активов, могут быть отнесены следующие:</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Показатель доли денежных средств в совокупных активах, который был посчитан в табл. 7 и составит 14,99% - в 2009 году, 11,44% - в 2010 году, 11,66% - в 2011 году.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Средневзвешанная</w:t>
      </w:r>
      <w:proofErr w:type="spellEnd"/>
      <w:r>
        <w:rPr>
          <w:rFonts w:ascii="Times New Roman CYR" w:hAnsi="Times New Roman CYR" w:cs="Times New Roman CYR"/>
          <w:sz w:val="28"/>
          <w:szCs w:val="28"/>
        </w:rPr>
        <w:t xml:space="preserve"> по всем срокам величина всех выданных кредитов и сданных в аренду активов к совокупным активам:</w:t>
      </w:r>
    </w:p>
    <w:p w:rsidR="00303476" w:rsidRDefault="00303476">
      <w:pPr>
        <w:widowControl w:val="0"/>
        <w:tabs>
          <w:tab w:val="left" w:pos="1276"/>
        </w:tabs>
        <w:autoSpaceDE w:val="0"/>
        <w:autoSpaceDN w:val="0"/>
        <w:adjustRightInd w:val="0"/>
        <w:spacing w:after="0" w:line="360" w:lineRule="auto"/>
        <w:ind w:left="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83180" cy="30480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831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67940" cy="304800"/>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794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21280" cy="30480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212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Отношение долгосрочных вложений к резервным фондам: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89760" cy="3048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897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90700" cy="3048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90700" cy="304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Показатель соотношения высоколиквидных активов и привлеченных </w:t>
      </w:r>
      <w:r>
        <w:rPr>
          <w:rFonts w:ascii="Times New Roman CYR" w:hAnsi="Times New Roman CYR" w:cs="Times New Roman CYR"/>
          <w:sz w:val="28"/>
          <w:szCs w:val="28"/>
        </w:rPr>
        <w:lastRenderedPageBreak/>
        <w:t>средств: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89760" cy="3048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897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89760" cy="3048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976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35480" cy="30480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354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Показатель структуры привлеченных средств (значение данного показателя, превышающее 100%, говорит о том, что банк использует привлеченные средства не только в качестве кредитных ресурсов, но и на собственные нужды):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59380" cy="30480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593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59380" cy="30480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593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12720" cy="3048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127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показателей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Для этого сведем необходимые исходные и расчетные данные в табл. 6-8.</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6 представлены данные для анализа показателя мгновенной ликвидности рассматриваемого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табличным данным, норматив мгновенной ликвидности должен превышать уровень в 15%. Это условие выполнялось на протяжении всего периода исследования. Наиболее высокий показатель мгновенной ликвидности наблюдался в 2009 году (41,94%), который в 2010 году начал стремительно снижаться (на 7,14%), замедляя снижение в 2011 году.</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удельного веса высоколиквидных активов в общей сумме </w:t>
      </w:r>
      <w:r>
        <w:rPr>
          <w:rFonts w:ascii="Times New Roman CYR" w:hAnsi="Times New Roman CYR" w:cs="Times New Roman CYR"/>
          <w:sz w:val="28"/>
          <w:szCs w:val="28"/>
        </w:rPr>
        <w:lastRenderedPageBreak/>
        <w:t>активов, то однозначной тенденции выявить сложно, поскольку в 2010 году было зафиксировано снижение данной величины на 3,13% до 11,96%, а в 2011 году был незначительный ее рост на 0,31%.</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Довольно интересная картина складывается относительно объема непокрытых высоколиквидными активами обязательств банка до востребования. В 2009 году его значение было отрицательной величиной (-52,03 тыс. руб.), в 2011 году рост составил 881,19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приведя значение показателя к положительной отметке, однако явился негативным моментов, приводящим к снижению показателя мгновенной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w:t>
      </w:r>
      <w:r>
        <w:rPr>
          <w:rFonts w:ascii="Times New Roman CYR" w:hAnsi="Times New Roman CYR" w:cs="Times New Roman CYR"/>
          <w:sz w:val="28"/>
          <w:szCs w:val="28"/>
        </w:rPr>
        <w:tab/>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показателя мгновенной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1"/>
        <w:gridCol w:w="1016"/>
        <w:gridCol w:w="1016"/>
        <w:gridCol w:w="1116"/>
        <w:gridCol w:w="1134"/>
        <w:gridCol w:w="1134"/>
        <w:gridCol w:w="1016"/>
        <w:gridCol w:w="1016"/>
      </w:tblGrid>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148" w:type="dxa"/>
            <w:gridSpan w:val="3"/>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68"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мгновенной ликвидности,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41,94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34,80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34,59</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-7,14</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-0,21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мгновенной ликвидности,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Высоколиквидные активы,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10653876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10895660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13988658</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+241784</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+3092998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+28,39</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до востребования,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25402785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31310470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40439897</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+5907685</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+9129427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+23,26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+29,16</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Объем непокрытых высоколиквидными активами обязательств банка до востребования,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-52,03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-383,56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497,63</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-331,53</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+881,19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+637,19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-28,96</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Привлеченные средства, всего,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61845087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82155734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104606211</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+20310647</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+22450477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+32,84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+27,33</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Активы, всего,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70600246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91120757</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114035976</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+20520511</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+22915219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+29,07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+25,15</w:t>
            </w:r>
          </w:p>
        </w:tc>
      </w:tr>
      <w:tr w:rsidR="00303476">
        <w:tc>
          <w:tcPr>
            <w:tcW w:w="212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Удельный вес высоколиквидных активов в общей сумме активов,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11,96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12,27</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113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bl>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7 представлены данные для анализа критерия текущей ликвидности ОАО «Московский индустриальный банк».</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текущей ликвидности за 2009-2011 гг. соответствовал установленному в 50% нормативу и не был ниже этого значения. За анализируемый период времени величина данного показателя скачкообразно изменялась, сначала снижаясь на 9,74% в 2010 году по отношению к 2009 году, а затем увеличиваясь в 2011 году на 11,76%.</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процентного соотношения ликвидных активов в структуре совокупных активов своим поведением отражает картину, характерную величине показателя текущей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Довольно интересным является показатель дефицита/запаса текущей ликвидности. Величина запаса возрастает на протяжении всего анализируемого периода времени с 10654784 тыс. руб. в 2009 году до 13990988 тыс. руб. в 2011 году. Причем если в 2010 году по сравнению с предыдущим годом увеличение составило всего 2,28%, то в 2011 году по отношению к 2010 году - уже 28,39%.</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w:t>
      </w:r>
    </w:p>
    <w:p w:rsidR="00303476" w:rsidRDefault="00303476">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показателя текущей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81"/>
        <w:gridCol w:w="1016"/>
        <w:gridCol w:w="1016"/>
        <w:gridCol w:w="1116"/>
        <w:gridCol w:w="1154"/>
        <w:gridCol w:w="1154"/>
        <w:gridCol w:w="1016"/>
        <w:gridCol w:w="1016"/>
      </w:tblGrid>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148" w:type="dxa"/>
            <w:gridSpan w:val="3"/>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308"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текущей ликвидности,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89,85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80,11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91,87</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-9,74</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+11,76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текущей ликвидности,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Активы, всего,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70600246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91120757</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114035976</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+20520511</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+22915219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+29,07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+25,15</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Ликвидные активы,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35580125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44067491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61253399</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+8487366</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+17185908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+23,85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+39,00</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То же в % к активам,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50,40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48,36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53,71</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Привлеченные средства,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61845087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82155734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104606211</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+20310647</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+22450477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+32,84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+27,33</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до востребования и на срок до 30 дней,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27741058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41405573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51444879</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+13664515</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+10039306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+49,26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+24,25</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То же в % к привлеченным средствам,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44,86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50,40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49,18</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+5,54</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08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Дефицит (-), запас (+) текущей ликвидности,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10654784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10897486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13990988</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+242702</w:t>
            </w:r>
          </w:p>
        </w:tc>
        <w:tc>
          <w:tcPr>
            <w:tcW w:w="115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+3093502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+28,39</w:t>
            </w:r>
          </w:p>
        </w:tc>
      </w:tr>
    </w:tbl>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 8 позволяет провести анализ показателей долгосрочной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долгосрочной ликвидности, заданный своим максимальным значением в 120% за 3 года не был превышен, хотя наблюдалось постепенное увеличение расчетного значения оцениваемого критерия с 43,77% в 2009 году до 53,12% в 2011 году. При этом изменение в 2011 году относительно 2010 года было гораздо более существенным (с 45,50% до 53,12%) по сравнению с ростом предыдущего периода и составило 7,62%.</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величины кредитов и других размещенных средств с оставшимся сроком до погашения свыше 1 года в составе совокупных активов, то она составляет порядка 10%, незначительно снижаясь и увеличиваясь за исследуемый период.</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8.</w:t>
      </w:r>
    </w:p>
    <w:p w:rsidR="00303476" w:rsidRDefault="00303476">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показателя долгосрочной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01"/>
        <w:gridCol w:w="1016"/>
        <w:gridCol w:w="1016"/>
        <w:gridCol w:w="1116"/>
        <w:gridCol w:w="1144"/>
        <w:gridCol w:w="1144"/>
        <w:gridCol w:w="1016"/>
        <w:gridCol w:w="1016"/>
      </w:tblGrid>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148" w:type="dxa"/>
            <w:gridSpan w:val="3"/>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88"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долгосрочной ликвидности,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43,77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45,50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53,12</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долгосрочной ликвидности,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≤120,00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≤120,00</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Активы, всего,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70600246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91120757</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114035976</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+20520511</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+22915219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+29,07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+25,15</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размещенные средства с оставшимся сроком до погашения свыше 1 года,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7640895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8373311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11767163</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+732416</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+3393852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+9,58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+40,53</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То же в % к активам, %</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10,82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9,19</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10,32</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Сумма собственных средств (капитала) и обязательств со сроком погашения свыше 1 года,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17456403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18404714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22151200</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+948311</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+3746486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+20,36</w:t>
            </w:r>
          </w:p>
        </w:tc>
      </w:tr>
      <w:tr w:rsidR="00303476">
        <w:tc>
          <w:tcPr>
            <w:tcW w:w="2101"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1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144"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144"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r>
      <w:tr w:rsidR="00303476">
        <w:tc>
          <w:tcPr>
            <w:tcW w:w="2101"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средства (капитал), тыс. руб.</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8755159</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8965023</w:t>
            </w:r>
          </w:p>
        </w:tc>
        <w:tc>
          <w:tcPr>
            <w:tcW w:w="11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9429765</w:t>
            </w:r>
          </w:p>
        </w:tc>
        <w:tc>
          <w:tcPr>
            <w:tcW w:w="1144"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+209864</w:t>
            </w:r>
          </w:p>
        </w:tc>
        <w:tc>
          <w:tcPr>
            <w:tcW w:w="1144"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+464742</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+5,18</w:t>
            </w:r>
          </w:p>
        </w:tc>
      </w:tr>
      <w:tr w:rsidR="00303476">
        <w:tc>
          <w:tcPr>
            <w:tcW w:w="21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банка со сроком погашения свыше 1 года, тыс. руб.</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8701244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9439691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12721435</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+738447</w:t>
            </w:r>
          </w:p>
        </w:tc>
        <w:tc>
          <w:tcPr>
            <w:tcW w:w="114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+3281744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+8,49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+34,76</w:t>
            </w:r>
          </w:p>
        </w:tc>
      </w:tr>
    </w:tbl>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проведенного выше анализа можно прийти к выводу, что ОАО «Московский индустриальный банк» соблюдает нормативы мгновенной, текущей и долгосрочной ликвидности, что говорит о верной направленности политики управления ею.</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несмотря на эту положительную тенденцию в деятельности банка, </w:t>
      </w:r>
      <w:r>
        <w:rPr>
          <w:rFonts w:ascii="Times New Roman CYR" w:hAnsi="Times New Roman CYR" w:cs="Times New Roman CYR"/>
          <w:sz w:val="28"/>
          <w:szCs w:val="28"/>
        </w:rPr>
        <w:lastRenderedPageBreak/>
        <w:t>кредитная организация сталкивается с рядом различного рода проблем.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Считаем необходимым уделить отдельное внимание анализу ликвидности Банка как потока денежных средств.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Информационной базой для такого анализа является ежеквартальная форма финансовой отчетности «Отчет о движении денежных средств», которая отражает состав полученных банком наличных и безналичных денежных средств и направления их использования.</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средства являются конечной формой ликвидных активов. А ликвидные активы в форме денежных средств имеют с коммерческой точки зрения меньший риск, чем любые вложения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неразмещенная часть финансовых ресурсов банка в идее его «свободных денежных средств» возникает, когда текущие активы превышают текущие обязательства кредитной организации или когда приток денежных средств превышает их отток. Если балансовый отчет и отчет о прибылях и убытках используют для характеристики финансового состояния банка и его финансовых результатов, то отчет о движении денежных средств предназначен для получения информации о финансировании этой деятельности.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денежных потоков целесообразно начать с изучения данных о движении денежных средств. Это позволит увидеть направления изменения общей величины и структуры денежных средств, получаемых банком в результате его деятельности, выявить степень надежности и стабильности денежных потоков, влияния на них общих изменений, происходящих на финансовых рынках.</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анализа денежных средств воспользуемся данными, представленными в отчете о движении денежных средств, составляемом по МСФО.</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денежных средств ОАО «Московский индустриальный банк» на </w:t>
      </w:r>
      <w:r>
        <w:rPr>
          <w:rFonts w:ascii="Times New Roman CYR" w:hAnsi="Times New Roman CYR" w:cs="Times New Roman CYR"/>
          <w:sz w:val="28"/>
          <w:szCs w:val="28"/>
        </w:rPr>
        <w:lastRenderedPageBreak/>
        <w:t>конец анализируемого периода равна 13301126 тыс. руб., что составляет 11,66% от всех активов банка. Из них 2875840 тыс. руб. составляет чистое увеличение денежных средств и их эквивалентов, начиная с 01.01.2011 (то есть по состоянию на начало года).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свободных денежных средств у банка должно быть достаточно, чтобы выполнить поступающие просьбы клиентов о предоставлении им новых кредитов и поддерживать свою ликвидность при непредвиденном снятии клиентами средств со своих счетов, с другой стороны, неразмещенных денежных средств не должно быть слишком много, поскольку они не приносят банку доходов. В нашей ситуации размер денежных средств не является столь значительным, поскольку он составляет 11,66% от общей стоимости всех активов.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приток денежных средств обеспечен за счет операционной деятельности банка и составил 3873962 тыс. руб. в 2011 году и 1873627 тыс. руб. в 2010 году. Этот факт считаем логичным, так как основная деятельность кредитной организации является главным источником прибыли, следовательно, она и должна являться главным источником денежных средств.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vanish/>
          <w:sz w:val="28"/>
          <w:szCs w:val="28"/>
        </w:rPr>
      </w:pPr>
      <w:r>
        <w:rPr>
          <w:rFonts w:ascii="Times New Roman CYR" w:hAnsi="Times New Roman CYR" w:cs="Times New Roman CYR"/>
          <w:sz w:val="28"/>
          <w:szCs w:val="28"/>
        </w:rPr>
        <w:t xml:space="preserve">Инвестиционная деятельность привела к оттоку денежных средств в сумме 1000004 тыс. руб. в 2011 году и 2032881 тыс. руб. в 2010 году. В тех случаях, когда банк стремится к расширению своих производственных мощностей и экономическая ситуация является благоприятной для этих целей, инвестиционная деятельность приводит к временному оттоку денежных средств, что является вполне нормальным явлением. В данном случае произошел отток денежных средств в большей степени в результате приобретения основных средств (1092643 тыс. руб. - в 2011 году, 872393 тыс. руб. - в 2010 году) и инвестиционных ценных бумаг (2219360 тыс. руб. - в 2011 году, 1646842 тыс. руб.). </w:t>
      </w:r>
      <w:r>
        <w:rPr>
          <w:rFonts w:ascii="Times New Roman CYR" w:hAnsi="Times New Roman CYR" w:cs="Times New Roman CYR"/>
          <w:vanish/>
          <w:sz w:val="28"/>
          <w:szCs w:val="28"/>
        </w:rPr>
        <w:t>уб. - в 2010 году).</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формам бухгалтерской отчетности, финансовая деятельность в </w:t>
      </w:r>
      <w:r>
        <w:rPr>
          <w:rFonts w:ascii="Times New Roman CYR" w:hAnsi="Times New Roman CYR" w:cs="Times New Roman CYR"/>
          <w:sz w:val="28"/>
          <w:szCs w:val="28"/>
        </w:rPr>
        <w:lastRenderedPageBreak/>
        <w:t>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не осуществлялась, хотя она призвана увеличивать денежные средства в распоряжении кредитной организации для финансового обеспечения основной и инвестиционной деятельности.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Преобладающие потоки денежных средств в виде полученных доходов в сумме 11010992 тыс. руб. полностью перекрыли процентные расходы в 6455768 тыс. руб. и убытки от обесценения кредитов в сумме 5620 тыс. руб. Однако непроцентные доходы в 2509852 тыс. руб. были не в состоянии перекрыть непроцентные расходы в 6665114 тыс. руб., что сказалось на величине прибыли в 2011 году, чистое значение которой составило всего 214505 тыс. руб., что на 414892 тыс. руб. ниже уровня 2010 года.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денежных потоков в рассматриваемом году видно, что их величина до изменения в операционных активах и обязательствах имела отрицательное значение, а с учетом изменения операционных активов и обязательств достигла суммы 4192368 тыс. руб. до налога на прибыль.</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сравнивать между собой показатели чистой прибыли и чистого прироста денежных средств за период, как результативные показатели деятельности банка, то считается, что прирост денежных средств в меньшей степени подвержен искажениям, чем величина чистой прибыли. При этом соотношение денежных средств за период с соответствующим значением чистой прибыли используется для проверки последней. Чем ближе значение суммы денежных средств и чистой прибыли, тем выше ее качество.</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анализа теоретической базы по исследуемому вопросу, а также оценки реального финансового состояния ОАО Московский индустриальный банк» были выявлены предпосылки и причины необходимости совершенствования управления ликвидностью коммерческой организации.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соблюдаются основные нормативы ликвидности (мгновенной, текущей, долгосрочной), согласно расчетам были превышены </w:t>
      </w:r>
      <w:r>
        <w:rPr>
          <w:rFonts w:ascii="Times New Roman CYR" w:hAnsi="Times New Roman CYR" w:cs="Times New Roman CYR"/>
          <w:sz w:val="28"/>
          <w:szCs w:val="28"/>
        </w:rPr>
        <w:lastRenderedPageBreak/>
        <w:t>максимальные риски как на одного заемщика (или группу связанных заемщиков), так и максимальный размер крупных кредитных рисков.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 выполняется норматив достаточности собственных средств (капитала) банка, что говорит о возможной неустойчивости работы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поскольку у него не достаточно количества собственных средств для исполнения своих обязательств.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эти факты говорят о необходимости пересмотра политики управления ликвидностью Банка, чему будет посвящена третья глава выпускной квалификационной работы.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tabs>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w:t>
      </w:r>
      <w:r>
        <w:rPr>
          <w:rFonts w:ascii="Times New Roman CYR" w:hAnsi="Times New Roman CYR" w:cs="Times New Roman CYR"/>
          <w:b/>
          <w:bCs/>
          <w:sz w:val="28"/>
          <w:szCs w:val="28"/>
        </w:rPr>
        <w:tab/>
        <w:t>Совершенствование процесса управления ликвидностью ОАО «</w:t>
      </w:r>
      <w:proofErr w:type="spellStart"/>
      <w:r>
        <w:rPr>
          <w:rFonts w:ascii="Times New Roman CYR" w:hAnsi="Times New Roman CYR" w:cs="Times New Roman CYR"/>
          <w:b/>
          <w:bCs/>
          <w:sz w:val="28"/>
          <w:szCs w:val="28"/>
        </w:rPr>
        <w:t>МИнБ</w:t>
      </w:r>
      <w:proofErr w:type="spellEnd"/>
      <w:r>
        <w:rPr>
          <w:rFonts w:ascii="Times New Roman CYR" w:hAnsi="Times New Roman CYR" w:cs="Times New Roman CYR"/>
          <w:b/>
          <w:bCs/>
          <w:sz w:val="28"/>
          <w:szCs w:val="28"/>
        </w:rPr>
        <w:t>»</w:t>
      </w:r>
    </w:p>
    <w:p w:rsidR="00303476" w:rsidRDefault="00303476">
      <w:pPr>
        <w:widowControl w:val="0"/>
        <w:tabs>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p>
    <w:p w:rsidR="00303476" w:rsidRDefault="00303476">
      <w:pPr>
        <w:widowControl w:val="0"/>
        <w:tabs>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w:t>
      </w:r>
      <w:r>
        <w:rPr>
          <w:rFonts w:ascii="Times New Roman CYR" w:hAnsi="Times New Roman CYR" w:cs="Times New Roman CYR"/>
          <w:b/>
          <w:bCs/>
          <w:sz w:val="28"/>
          <w:szCs w:val="28"/>
        </w:rPr>
        <w:tab/>
        <w:t>Направления совершенствования политики управления ликвидностью коммерческого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Объективная оценка уровня ликвидности банка и эффективное управление ею относятся к наиболее важным аспектам деятельности коммерческой организации. Для того, чтобы своевременно проводить платежи, возвращать средства с депозитных счетов, отвечать по другим обязательствам, банк должен уделять большое внимание поддержанию ликвидности. Эта проблема занимает одно из ведущих мест в банковском менеджменте.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Каждому банку необходимо разрабатывать с целью применения на практике совокупность мер по поддержанию оптимального уровня ликвидности, который обеспечивал бы удовлетворение спроса клиентов на денежные средства и в то же время не снижая рентабельности активов и прибыль банка.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мер и методов, направленных на поддержание ликвидности банка, можно определить как методологию управления ликвидностью. В зависимости от специализации, особенностей клиентской базы, проводимых операций и многих других факторов управления ликвидностью в различных банках осуществляется по-разному. В процессе работы банка под воздействием изменяющихся условий она должна постоянно дорабатываться, совершенствоваться и своевременно модифицироваться, чтобы адекватно реагировать на конъюнктурные изменения.</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проведенному во второй главе выпускной квалификационной работы анализу деятельности ОАО «Московский индустриальный банк» было выявлено, что выполняются все нормативы ликвидности, однако превышены </w:t>
      </w:r>
      <w:r>
        <w:rPr>
          <w:rFonts w:ascii="Times New Roman CYR" w:hAnsi="Times New Roman CYR" w:cs="Times New Roman CYR"/>
          <w:sz w:val="28"/>
          <w:szCs w:val="28"/>
        </w:rPr>
        <w:lastRenderedPageBreak/>
        <w:t>максимальные риски на одного заемщика (или группу связанных заемщиков) и максимальный размер крупных кредитных рисков, что явилось возможным следствием ошибок политики коммерческой организации, недооценки рынка, недостатка в аналитической работе и других причин.</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Банку, имеющему недостаточно устойчивое положение, необходимо заняться улучшением организационной структуры, то есть уделить внимание развитию менеджмента, в частности, создать, например, службу внутреннего аудита, что позволило бы снизить злоупотребления внутри банка.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Считаем целесообразным как можно более тщательно проводить оценку ликвидности баланса путем расчета коэффициентов ликвидности. В процессе анализа баланса на ликвидность могут быть выявлены отклонения в сторону как снижения минимально допустимых значений, так и их существенного превышения. В первом случае коммерческим банкам нужно в месячный срок привести показатели ликвидности в соответствие с нормативными значениями. Это возможно за счет сокращения, прежде всего, межбанковских кредитов, кредиторской задолженности и других видов привлеченных ресурсов, а также за счет увеличения собственных средств банка. Однако следует иметь в виду, что привлечение дополнительного капитала в форме выпуска новых акций вызовет сокращение дивидендов и, как следствие, неодобрение пайщиков.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Особенности работы коммерческой организации, как учреждения, основывающего свою деятельность на использовании средств клиентов, диктует необходимость применения показателей ликвидности. Наибольшая ее величина достигается при максимизации остатков в кассах и на корреспондентских счетах по отношению к другим активам. Но именно в этом случае прибыль будет минимальна. Максимизация прибыли требует не хранения средств, а их использования для выдачи ссуд и осуществления инвестиций. Поскольку для </w:t>
      </w:r>
      <w:r>
        <w:rPr>
          <w:rFonts w:ascii="Times New Roman CYR" w:hAnsi="Times New Roman CYR" w:cs="Times New Roman CYR"/>
          <w:sz w:val="28"/>
          <w:szCs w:val="28"/>
        </w:rPr>
        <w:lastRenderedPageBreak/>
        <w:t>этого необходимо свести кассовую наличность и остатки на корреспондентских счетах к минимуму, но максимизация прибыли ставит под угрозу бесперебойность выполнения банком своих обязательств перед клиентами.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сущность процесса банковского управления ликвидностью состоит в гибком сочетании противоположных требований ликвидности и прибыльности. Целевая функция управления ликвидностью коммерческим банком заключается в максимизации прибыли при обязательном соблюдении устанавливаемых и определяемых самим банком экономических нормативов.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Также банк должен определять потребность в ликвидных средствах хотя бы на краткосрочную перспективу. Прогнозирование этой потребности может осуществляться двумя методами, один из которых предполагает анализ потребностей в кредите и ожидаемого уровня вкладов каждого из ведущих клиентов, а другой - прогнозирование объема ссуд и вкладов. Оба метода имеют недостаток, заключающийся в том, что они опираются на средний, а не предельный уровень ликвидности. Это может быть достаточным для оценки ликвидности банковской системы в целом, но оно не подскажет руководству отдельной коммерческой организации, какова должна быть его кассовая наличность на следующей неделе, чтобы покрыть изъятие вкладов и заявки на кредит. Только анализ счетов отдельных клиентов банка позволят ему определить потребности в наличных деньгах на данный момент.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необходимо предварительное изучение хозяйственных и финансовых условий на местном рынке, специфики клиентуры, возможностей выхода на новые рынки, а также перспективы развития банковских услуг, в том числе, открытие новых видов счетов, проведение операций по трасту, лизингу, факторингу и т.д. Причем, кроме местных факторов, необходимо учитывать также и общенациональные, в качестве которых могут выступать изменения в денежно-кредитной политике, в законодательстве и т.д.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Исходя из спрогнозированной величины необходимых ликвидных средств, банку нужно сформировать ликвидный резерв для выполнения непредвиденных обязательств, появление которых может быть вызвано изменением состояния денежного рынка, финансового положения клиента или банка партнера.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Поддержание ликвидности на требуемом уровне осуществляется при помощи проведения определенной политики банка в области пассивных и активных операций, вырабатываемой с учетом конкретных условий денежного рынка и особенностей выполняемых операций. То есть банк должен разработать грамотную политику управления активными и пассивными операциями.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в управлении активами банку следует обратить внимание на следующие моменты: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Управление наличностью должно быть более эффективным, то есть необходимо прогнозировать притоки и оттоки наличности и разработать графики платежей.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Сроки, на которые банк размещает средства, должны соответствовать срокам привлеченных ресурсов, поскольку превышение денежных средств на счетах актива над денежными средствами на счетах пассива не допустимо.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Акцентировать внимание на повышении рентабельности работы в целом и на доходности отдельных операций в частности.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управлении пассивами банку можно выделить следующие рекомендации: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Применять метод анализа размещения пассивов по их срокам, который позволяет управлять обязательствами банка, прогнозировать и менять их структуру в зависимости от уровня коэффициентов ликвидности, проводить взвешенную политику в области аккумуляции ресурсов, влиять на платежеспособность.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sz w:val="28"/>
          <w:szCs w:val="28"/>
        </w:rPr>
        <w:tab/>
        <w:t xml:space="preserve">Разработать политику управления капиталом, ФСН и резервами.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Следить за соотношением собственного капитала к привлеченному.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депозитную базу банка в разрезе структуры депозитов (срочные и сберегательные депозиты более ликвидны, чем депозиты до востребования) и стратегии поддержания их устойчивости.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международной практике менеджеры по управлению ликвидностью банков разработали ряд практических рекомендаций по улучшению этого вида деятельности, первая из которых состоит в том, что менеджеры по управлению ликвидностью должны контролировать деятельность всех отделов банка, отвечающих за использование и привлечение средств, и координировать свою деятельность с работой этих отделов.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рекомендация заключается в том, что менеджеры по управлению ликвидностью должны предвидеть, когда наиболее крупные вкладчики и пользователи кредитов банка планируют снять средства со счета или увеличить вклады, что позволяет управляющим планировать свои действия в случае возникновения дефицита или излишка ликвидных средств.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третьей рекомендацией, менеджеры по управлению ликвидностью в сотрудничестве с высшим руководством и руководителями отделов должны быть уверены, что приоритеты и цели управления ликвидными средствами очевидны. Еще в недавнем прошлом при размещении средств ликвидность банка часто имела высший приоритет. В настоящее время управлению ликвидными средствами в общем отводится роль вспомогательного механизма. Банк должен предоставлять любые выгодные займы, ставя перед управляющим ликвидными средствами задачу изыскания достаточных денежных средств для обеспечения кредитов.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четвертой рекомендации состоит в том, что потребности коммерческой организации в ликвидных средствах и решение относительно их </w:t>
      </w:r>
      <w:r>
        <w:rPr>
          <w:rFonts w:ascii="Times New Roman CYR" w:hAnsi="Times New Roman CYR" w:cs="Times New Roman CYR"/>
          <w:sz w:val="28"/>
          <w:szCs w:val="28"/>
        </w:rPr>
        <w:lastRenderedPageBreak/>
        <w:t xml:space="preserve">размещения должны постоянно анализироваться во избежание и излишка, и дефицита ликвидных средств. Излишние ликвидные средства, которые не реинвестируются в тот же день, ведут к потерям доходов банка, в то время как их дефицит должен быть быстро ликвидирован во избежание неблагоприятных последствий поспешных займов или продаж активов, также ведущих к потерям доходов.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каждый коммерческий банк должен самостоятельно обеспечивать поддержание своей ликвидности на заданном уровне на основе как анализа ее состояния, складывающегося на конкретные периоды времени, так и прогнозирования результатов деятельности и проведения в последующем экономической политики в области формирования уставного капитала, фондов специального назначения и резервов, привлечения заемных средств сторонних организаций, осуществления активных кредитных операций.</w:t>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3.2 Мероприятия по повышению уровня ликвидности ОАО «</w:t>
      </w:r>
      <w:proofErr w:type="spellStart"/>
      <w:r>
        <w:rPr>
          <w:rFonts w:ascii="Times New Roman CYR" w:hAnsi="Times New Roman CYR" w:cs="Times New Roman CYR"/>
          <w:b/>
          <w:bCs/>
          <w:sz w:val="28"/>
          <w:szCs w:val="28"/>
        </w:rPr>
        <w:t>МИнБ</w:t>
      </w:r>
      <w:proofErr w:type="spellEnd"/>
      <w:r>
        <w:rPr>
          <w:rFonts w:ascii="Times New Roman CYR" w:hAnsi="Times New Roman CYR" w:cs="Times New Roman CYR"/>
          <w:b/>
          <w:bCs/>
          <w:sz w:val="28"/>
          <w:szCs w:val="28"/>
        </w:rPr>
        <w:t>»</w:t>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процесса управления ликвидностью на ОАО «Московский индустриальный банк», которому была посвящена вторая глава настоящей работы, позволил выявить, что коммерческая организация в некотором роде подвержена риску ликвидности, возникающему в результате несбалансированности между сроками требования по финансовым активам и срокам погашения по финансовым обязательствам (в том числе вследствие несвоевременного исполнения финансовых обязательств одним или несколькими контрагентами) или возникновения непредвиденной необходимости немедленного и единовременного исполнения Банком своих финансовых обязательств.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Банку необходимо проводить политику по диверсификации источников </w:t>
      </w:r>
      <w:r>
        <w:rPr>
          <w:rFonts w:ascii="Times New Roman CYR" w:hAnsi="Times New Roman CYR" w:cs="Times New Roman CYR"/>
          <w:sz w:val="28"/>
          <w:szCs w:val="28"/>
        </w:rPr>
        <w:lastRenderedPageBreak/>
        <w:t>привлеченных денежных средств, и поддерживать на приемлемом уровне в целом величину риска ликвидности, обусловленного привлечением денежных средств у группы связанных лиц или на межбанковском рынке, так как норматив Центрального банка РФ Н6, характеризующий максимальный размер риска на одного заемщика или группу заемщиков, приближен к предельно допустимому.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проведенному анализу,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необходимо тщательно следить за значением коэффициента К2, характеризующего долю уставного фонда в капитал банка. Это можно добиться за счет эмиссии акций и контролировать величину нераспределенной прибыли прошлых лет.</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изучаемой коммерческой организации следует уделять повышенное внимание величине показателя достаточности собственных средств (капитала) банка Н1, который в последние 2 года опустился ниже предельно минимального значения в 10%. Эмиссия акций также может благотворно повлиять на решение данного вопроса. Однако помимо этого необходимо следить за тем, чтобы кредитный, операционный и рыночный риски для банка не превышали допустимых значений.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более эффективной политики по управлению ликвидностью и связанными с ней рисками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рекомендуется рассмотреть вариант вложения собственных средств в акции других успешных юридических лиц, что позволит банку получить дополнительный доход в виде дивидендов по акциям.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проведенных во второй главе работы расчетов, нормативы мгновенной (Н2) и текущей (Н3) ликвидности банка довольно существенно превышают минимальный порог допустимых значений, что говорит о том, что уровень высоколиквидных активов можно сократить и превратить их в более доходные долгосрочные активы, то есть целесообразно увеличивать долю «работающих активов», приносящих доход в виде процентов. </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Однако в нашем случае удельный вес доходных активов превышает предельно допустимые ограничения в 65-75%, имея значение 80,09% в 2011 году, что указывает на невысокий уровень управления активами и их ликвидностью.</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считаем целесообразным некоторым образом изменить структуру активов банка посредством снижения не только высоколиквидных, но и в целом доходных активов и соответственного увеличения иммобилизованных активов в разрезе основных средств с целью расширения банковской сети отделений.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Спрогнозируем показатели и нормативы ликвидности при условии снижения величины высоколиквидных активов на 20%, общей суммы доходных активов - на 7%, показателя «кредиты выданные и депозиты размещенные сроком свыше 1 года» - на 20% в составе общей суммы доходных активов.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величина высоколиквидных активов составит:</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тыс. руб. </w:t>
      </w:r>
      <w:r>
        <w:rPr>
          <w:rFonts w:ascii="Times New Roman" w:hAnsi="Times New Roman"/>
          <w:sz w:val="28"/>
          <w:szCs w:val="28"/>
        </w:rPr>
        <w:t>×</w:t>
      </w:r>
      <w:r>
        <w:rPr>
          <w:rFonts w:ascii="Times New Roman CYR" w:hAnsi="Times New Roman CYR" w:cs="Times New Roman CYR"/>
          <w:sz w:val="28"/>
          <w:szCs w:val="28"/>
        </w:rPr>
        <w:t xml:space="preserve"> 0,80 = 11190926,4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доходных активов будет равна: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тыс. руб. </w:t>
      </w:r>
      <w:r>
        <w:rPr>
          <w:rFonts w:ascii="Times New Roman" w:hAnsi="Times New Roman"/>
          <w:sz w:val="28"/>
          <w:szCs w:val="28"/>
        </w:rPr>
        <w:t>×</w:t>
      </w:r>
      <w:r>
        <w:rPr>
          <w:rFonts w:ascii="Times New Roman CYR" w:hAnsi="Times New Roman CYR" w:cs="Times New Roman CYR"/>
          <w:sz w:val="28"/>
          <w:szCs w:val="28"/>
        </w:rPr>
        <w:t xml:space="preserve"> 0,93 = 84935880,72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параметра «кредиты выданные и депозиты размещенные сроком свыше 1 года» будет следующим: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тыс. руб. </w:t>
      </w:r>
      <w:r>
        <w:rPr>
          <w:rFonts w:ascii="Times New Roman" w:hAnsi="Times New Roman"/>
          <w:sz w:val="28"/>
          <w:szCs w:val="28"/>
        </w:rPr>
        <w:t>×</w:t>
      </w:r>
      <w:r>
        <w:rPr>
          <w:rFonts w:ascii="Times New Roman CYR" w:hAnsi="Times New Roman CYR" w:cs="Times New Roman CYR"/>
          <w:sz w:val="28"/>
          <w:szCs w:val="28"/>
        </w:rPr>
        <w:t xml:space="preserve"> 0,80 = 9413730,4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основных средств увеличится с 8783794 тыс. руб. на: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тыс.</w:t>
      </w:r>
      <w:r>
        <w:rPr>
          <w:rFonts w:ascii="Times New Roman CYR" w:hAnsi="Times New Roman CYR" w:cs="Times New Roman CYR"/>
          <w:vanish/>
          <w:sz w:val="28"/>
          <w:szCs w:val="28"/>
        </w:rPr>
        <w:t xml:space="preserve"> руб.</w:t>
      </w:r>
      <w:r>
        <w:rPr>
          <w:rFonts w:ascii="Times New Roman CYR" w:hAnsi="Times New Roman CYR" w:cs="Times New Roman CYR"/>
          <w:sz w:val="28"/>
          <w:szCs w:val="28"/>
        </w:rPr>
        <w:t xml:space="preserve"> </w:t>
      </w:r>
      <w:r>
        <w:rPr>
          <w:rFonts w:ascii="Times New Roman" w:hAnsi="Times New Roman"/>
          <w:sz w:val="28"/>
          <w:szCs w:val="28"/>
        </w:rPr>
        <w:t>×</w:t>
      </w:r>
      <w:r>
        <w:rPr>
          <w:rFonts w:ascii="Times New Roman CYR" w:hAnsi="Times New Roman CYR" w:cs="Times New Roman CYR"/>
          <w:sz w:val="28"/>
          <w:szCs w:val="28"/>
        </w:rPr>
        <w:t xml:space="preserve"> 0,20 + 91328904 тыс. руб. </w:t>
      </w:r>
      <w:r>
        <w:rPr>
          <w:rFonts w:ascii="Times New Roman" w:hAnsi="Times New Roman"/>
          <w:sz w:val="28"/>
          <w:szCs w:val="28"/>
        </w:rPr>
        <w:t>×</w:t>
      </w:r>
      <w:r>
        <w:rPr>
          <w:rFonts w:ascii="Times New Roman CYR" w:hAnsi="Times New Roman CYR" w:cs="Times New Roman CYR"/>
          <w:sz w:val="28"/>
          <w:szCs w:val="28"/>
        </w:rPr>
        <w:t xml:space="preserve"> 0,07 = 2797731,6 тыс. руб. ++ 6393023,28 </w:t>
      </w:r>
      <w:r>
        <w:rPr>
          <w:rFonts w:ascii="Times New Roman CYR" w:hAnsi="Times New Roman CYR" w:cs="Times New Roman CYR"/>
          <w:sz w:val="28"/>
          <w:szCs w:val="28"/>
        </w:rPr>
        <w:lastRenderedPageBreak/>
        <w:t>тыс. руб. = 9190754,88 тыс. руб. и составит в конечном итоге: 8783794 тыс. руб. + 9190754,88 тыс. руб. = 17974548,88 тыс. руб.</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vanish/>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основные показатели ликвидности при новых условиях:</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Коэффициент достаточности капитала: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20340" cy="30480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2034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Доля уставного фонда в капитале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97480" cy="304800"/>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974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Уровень доходных активов: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10840" cy="304800"/>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1084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размещения платных ресурсов: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02280" cy="32766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228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мгновенной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49880" cy="30480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498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общей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10840" cy="30480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1084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рентабельности: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35580" cy="30480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355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рентабельности уставного фонда: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98420" cy="3048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84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рентабельности доходных активов: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71800" cy="3276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7180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величины нормативов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Норматив мгновенной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7500" cy="3048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Норматив текущей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26080" cy="30480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Норматив долгосрочной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291840" cy="304800"/>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9184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приведенных выше расчетов и табличных данных, становится очевидным, что значения некоторых коэффициентов по состоянию на 2011 год остались прежними, остальные претерпели некоторые изменения, отраженные в табл. 9, где сведены фактические и планируемые значения изучаемых коэффициентов и нормативов ликвидности. На прежнем уровне остались те величины, расчет которых не зависит от внесенных в структуру общей суммы активов изменений.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наиболее существенные коррективы параметров, произошедшие в результате составления прогноза.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доходных активов снизился на 5,61% и составил 74,48%. Это является положительным моментом, поскольку в предложенном варианте полученное значение критерия удовлетворяет установленным нормативным ограничениям в 65-75%, в то время, как фактическая величина, реально полученная в 2011 году, выходит за рамки предельных значений, превышая максимальный порог.</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коэффициента размещения платных ресурсов наблюдается превышение фактического значения на 8,24%. Однако полученная величина не выходит за рамки максимального ограничения в 120%, поэтому в нашем случае увеличение параметра считается относительно приемлемым.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Отдельное внимание необходимо уделить коэффициентам и нормативам ликвидности, которые все снизились: какие-то на более значительную величину, какие-то - на менее.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w:t>
      </w:r>
      <w:r>
        <w:rPr>
          <w:rFonts w:ascii="Times New Roman CYR" w:hAnsi="Times New Roman CYR" w:cs="Times New Roman CYR"/>
          <w:sz w:val="28"/>
          <w:szCs w:val="28"/>
        </w:rPr>
        <w:tab/>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показателей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09"/>
        <w:gridCol w:w="1408"/>
        <w:gridCol w:w="1208"/>
        <w:gridCol w:w="1380"/>
        <w:gridCol w:w="1764"/>
      </w:tblGrid>
      <w:tr w:rsidR="00303476">
        <w:tc>
          <w:tcPr>
            <w:tcW w:w="5217"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Наименование коэффициентов и нормативов ликвидности</w:t>
            </w:r>
          </w:p>
        </w:tc>
        <w:tc>
          <w:tcPr>
            <w:tcW w:w="2588"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Абсолютн</w:t>
            </w:r>
            <w:proofErr w:type="spellEnd"/>
            <w:r>
              <w:rPr>
                <w:rFonts w:ascii="Times New Roman CYR" w:hAnsi="Times New Roman CYR" w:cs="Times New Roman CYR"/>
                <w:sz w:val="20"/>
                <w:szCs w:val="20"/>
              </w:rPr>
              <w:t>. отклонен. (±)</w:t>
            </w:r>
          </w:p>
        </w:tc>
      </w:tr>
      <w:tr w:rsidR="00303476">
        <w:tc>
          <w:tcPr>
            <w:tcW w:w="5217"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фактич</w:t>
            </w:r>
            <w:proofErr w:type="spellEnd"/>
            <w:r>
              <w:rPr>
                <w:rFonts w:ascii="Times New Roman CYR" w:hAnsi="Times New Roman CYR" w:cs="Times New Roman CYR"/>
                <w:sz w:val="20"/>
                <w:szCs w:val="20"/>
              </w:rPr>
              <w:t>. знач.</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прогнозн</w:t>
            </w:r>
            <w:proofErr w:type="spellEnd"/>
            <w:r>
              <w:rPr>
                <w:rFonts w:ascii="Times New Roman CYR" w:hAnsi="Times New Roman CYR" w:cs="Times New Roman CYR"/>
                <w:sz w:val="20"/>
                <w:szCs w:val="20"/>
              </w:rPr>
              <w:t>. знач.</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r>
      <w:tr w:rsidR="00303476">
        <w:tc>
          <w:tcPr>
            <w:tcW w:w="5217"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достаточности капитала</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К1 (Н1) (</w:t>
            </w:r>
            <w:r>
              <w:rPr>
                <w:rFonts w:ascii="Times New Roman CYR" w:hAnsi="Times New Roman CYR" w:cs="Times New Roman CYR"/>
                <w:sz w:val="20"/>
                <w:szCs w:val="20"/>
                <w:lang w:val="en-US"/>
              </w:rPr>
              <w:t>min 10%)</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8,27</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8,27</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Доля уставного фонда в капитале банка</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К2 (15-50%)</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26,65</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26,65</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Уровень доходных активов</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К3 (65-75%)</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80,09</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74,48</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-5,61</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размещения платных ресурсов</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К4 (</w:t>
            </w:r>
            <w:r>
              <w:rPr>
                <w:rFonts w:ascii="Times New Roman CYR" w:hAnsi="Times New Roman CYR" w:cs="Times New Roman CYR"/>
                <w:sz w:val="20"/>
                <w:szCs w:val="20"/>
                <w:lang w:val="en-US"/>
              </w:rPr>
              <w:t>max 120%</w:t>
            </w:r>
            <w:r>
              <w:rPr>
                <w:rFonts w:ascii="Times New Roman CYR" w:hAnsi="Times New Roman CYR" w:cs="Times New Roman CYR"/>
                <w:sz w:val="20"/>
                <w:szCs w:val="20"/>
              </w:rPr>
              <w:t>)</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109,56</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117,80</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+8,24</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мгновенной ликвидности</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К5</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13,98</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11,18</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-2,80</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общей ликвидности</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К6</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61,22</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40,85</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-20,37</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К7 (0,5-5</w:t>
            </w:r>
            <w:r>
              <w:rPr>
                <w:rFonts w:ascii="Times New Roman CYR" w:hAnsi="Times New Roman CYR" w:cs="Times New Roman CYR"/>
                <w:sz w:val="20"/>
                <w:szCs w:val="20"/>
                <w:lang w:val="en-US"/>
              </w:rPr>
              <w:t>%)</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 уставного фонда</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К8 </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8,57</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8,57</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 доходных активов</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К9 </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12,06</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12,96</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+0,90</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мгновенной ликвидности</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Н2 (</w:t>
            </w:r>
            <w:r>
              <w:rPr>
                <w:rFonts w:ascii="Times New Roman CYR" w:hAnsi="Times New Roman CYR" w:cs="Times New Roman CYR"/>
                <w:sz w:val="20"/>
                <w:szCs w:val="20"/>
                <w:lang w:val="en-US"/>
              </w:rPr>
              <w:t>min 1</w:t>
            </w:r>
            <w:r>
              <w:rPr>
                <w:rFonts w:ascii="Times New Roman CYR" w:hAnsi="Times New Roman CYR" w:cs="Times New Roman CYR"/>
                <w:sz w:val="20"/>
                <w:szCs w:val="20"/>
              </w:rPr>
              <w:t>5</w:t>
            </w:r>
            <w:r>
              <w:rPr>
                <w:rFonts w:ascii="Times New Roman CYR" w:hAnsi="Times New Roman CYR" w:cs="Times New Roman CYR"/>
                <w:sz w:val="20"/>
                <w:szCs w:val="20"/>
                <w:lang w:val="en-US"/>
              </w:rPr>
              <w:t>%)</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34,59</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27,67</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-6,92</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текущей ликвидности</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Н3 (</w:t>
            </w:r>
            <w:r>
              <w:rPr>
                <w:rFonts w:ascii="Times New Roman CYR" w:hAnsi="Times New Roman CYR" w:cs="Times New Roman CYR"/>
                <w:sz w:val="20"/>
                <w:szCs w:val="20"/>
                <w:lang w:val="en-US"/>
              </w:rPr>
              <w:t xml:space="preserve">min </w:t>
            </w:r>
            <w:r>
              <w:rPr>
                <w:rFonts w:ascii="Times New Roman CYR" w:hAnsi="Times New Roman CYR" w:cs="Times New Roman CYR"/>
                <w:sz w:val="20"/>
                <w:szCs w:val="20"/>
              </w:rPr>
              <w:t>5</w:t>
            </w:r>
            <w:r>
              <w:rPr>
                <w:rFonts w:ascii="Times New Roman CYR" w:hAnsi="Times New Roman CYR" w:cs="Times New Roman CYR"/>
                <w:sz w:val="20"/>
                <w:szCs w:val="20"/>
                <w:lang w:val="en-US"/>
              </w:rPr>
              <w:t>0%)</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91,87</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79,45</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-12,42</w:t>
            </w:r>
          </w:p>
        </w:tc>
      </w:tr>
      <w:tr w:rsidR="00303476">
        <w:tc>
          <w:tcPr>
            <w:tcW w:w="380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долгосрочной ликвидности</w:t>
            </w:r>
          </w:p>
        </w:tc>
        <w:tc>
          <w:tcPr>
            <w:tcW w:w="14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Н4 (</w:t>
            </w:r>
            <w:r>
              <w:rPr>
                <w:rFonts w:ascii="Times New Roman CYR" w:hAnsi="Times New Roman CYR" w:cs="Times New Roman CYR"/>
                <w:sz w:val="20"/>
                <w:szCs w:val="20"/>
                <w:lang w:val="en-US"/>
              </w:rPr>
              <w:t>max 1</w:t>
            </w:r>
            <w:r>
              <w:rPr>
                <w:rFonts w:ascii="Times New Roman CYR" w:hAnsi="Times New Roman CYR" w:cs="Times New Roman CYR"/>
                <w:sz w:val="20"/>
                <w:szCs w:val="20"/>
              </w:rPr>
              <w:t>2</w:t>
            </w:r>
            <w:r>
              <w:rPr>
                <w:rFonts w:ascii="Times New Roman CYR" w:hAnsi="Times New Roman CYR" w:cs="Times New Roman CYR"/>
                <w:sz w:val="20"/>
                <w:szCs w:val="20"/>
                <w:lang w:val="en-US"/>
              </w:rPr>
              <w:t>0%)</w:t>
            </w:r>
          </w:p>
        </w:tc>
        <w:tc>
          <w:tcPr>
            <w:tcW w:w="120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53,12</w:t>
            </w:r>
          </w:p>
        </w:tc>
        <w:tc>
          <w:tcPr>
            <w:tcW w:w="138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42,50</w:t>
            </w:r>
          </w:p>
        </w:tc>
        <w:tc>
          <w:tcPr>
            <w:tcW w:w="176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-10,62</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мгновенной ликвидности снизился на 2,80%, общей ликвидности - на 20,37%. Что касается нормативов, то величина Н2 снизилась на 6,92%, Н3 - на 12,42%, Н4 - на 10,62%. При этом следует отметить, что несмотря на произошедшие изменения, полученные величины параметров остаются в пределах допустимых значений, хотя и ближе к минимальным. К тому же опыт работы коммерческих организаций показывает, что банки получают больше прибыли, когда функционируют на грани минимально допустимых значений нормативов ликвидности, то есть полностью используют предоставляемые им права по привлечению денежных средств в качестве кредитных ресурсов.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условии снижения величины высоколиквидных активов на 20%, общей суммы доходных активов - на 7%, показателя «</w:t>
      </w:r>
      <w:proofErr w:type="spellStart"/>
      <w:r>
        <w:rPr>
          <w:rFonts w:ascii="Times New Roman CYR" w:hAnsi="Times New Roman CYR" w:cs="Times New Roman CYR"/>
          <w:sz w:val="28"/>
          <w:szCs w:val="28"/>
        </w:rPr>
        <w:t>кредитывыданные</w:t>
      </w:r>
      <w:proofErr w:type="spellEnd"/>
      <w:r>
        <w:rPr>
          <w:rFonts w:ascii="Times New Roman CYR" w:hAnsi="Times New Roman CYR" w:cs="Times New Roman CYR"/>
          <w:sz w:val="28"/>
          <w:szCs w:val="28"/>
        </w:rPr>
        <w:t xml:space="preserve"> и депозиты размещенные сроком свыше 1 года» - на 20% в составе общей суммы доходных активов, расчетные показатели свидетельствуют </w:t>
      </w:r>
      <w:r>
        <w:rPr>
          <w:rFonts w:ascii="Times New Roman CYR" w:hAnsi="Times New Roman CYR" w:cs="Times New Roman CYR"/>
          <w:sz w:val="28"/>
          <w:szCs w:val="28"/>
        </w:rPr>
        <w:lastRenderedPageBreak/>
        <w:t>о более эффективном управлении активами. Однако при этом необходимо оценить, с какими рисками придется столкнуться банку, а также возможности их снижения.</w:t>
      </w: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3.3 Оценка риска ликвидности банка и возможности его снижения</w:t>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разрезе предложенного в предыдущем разделе метода управления ликвидностью коммерческой организации предложим его модификацию в разрезе снижения величины высоколиквидных активов на 20% за счет их размещения в акции в уставном капитале других юридических лиц. Это позволит ОАО «Московский индустриальный банк» получить дополнительную прибыль за счет дивидендов по акциям либо за счет прибыли от продажи акций в конце года.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величины высоколиквидных активов составит 20%, в абсолютном выражении - 2797731,6 тыс. руб. Соответственно значение данного параметра будет равно 11190926,4 тыс. руб. Величина доходных активов составит 88531172,4 тыс. руб. Величина активов банка будет равной 111238244,4 тыс. руб. Тогда капитал будет равен 12227496,6 тыс. руб. за счет дополнительных собственных средств, вложенных в акции других организаций. Спрогнозируем показатели уровня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при заданных параметрах.</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Коэффициент достаточности капитала: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4640" cy="304800"/>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3464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Доля уставного фонда в капитале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65120" cy="3276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512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Уровень доходных активов: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10840" cy="32766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1084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размещения платных ресурсов: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33700" cy="3276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3370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мгновенной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7500" cy="304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общей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19400" cy="304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194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рентабельности: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19400" cy="3276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1940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рентабельности уставного фонда: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98420" cy="3048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84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 рентабельности доходных активов: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03220" cy="3276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322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величины нормативов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Норматив мгновенной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7500" cy="304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Норматив текущей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27020" cy="3048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27020" cy="30480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Норматив долгосрочной ликвидности:</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59480" cy="327660"/>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5948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Максимальный размер крупных кредитных рисков:</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41320" cy="3276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4132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Соотношение совокупной величины кредитов и займов, выданных акционерам (участникам банка) и капитала: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49880" cy="327660"/>
            <wp:effectExtent l="0" t="0" r="76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4988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Отношение совокупной величины кредитов и займов, выданных </w:t>
      </w:r>
      <w:r>
        <w:rPr>
          <w:rFonts w:ascii="Times New Roman CYR" w:hAnsi="Times New Roman CYR" w:cs="Times New Roman CYR"/>
          <w:sz w:val="28"/>
          <w:szCs w:val="28"/>
        </w:rPr>
        <w:lastRenderedPageBreak/>
        <w:t>инсайдерам, к капиталу:</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27020" cy="3276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702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Норматив использования собственных средств (капитала) банка для приобретения долей (акций) других юридических лиц:</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52800" cy="3276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52800" cy="327660"/>
                    </a:xfrm>
                    <a:prstGeom prst="rect">
                      <a:avLst/>
                    </a:prstGeom>
                    <a:noFill/>
                    <a:ln>
                      <a:noFill/>
                    </a:ln>
                  </pic:spPr>
                </pic:pic>
              </a:graphicData>
            </a:graphic>
          </wp:inline>
        </w:drawing>
      </w:r>
      <w:r w:rsidR="00303476">
        <w:rPr>
          <w:rFonts w:ascii="Times New Roman CYR" w:hAnsi="Times New Roman CYR" w:cs="Times New Roman CYR"/>
          <w:sz w:val="28"/>
          <w:szCs w:val="28"/>
        </w:rPr>
        <w:t xml:space="preserve"> </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Сведем все полученные данные для наглядности в табличном виде с целью проведения дальнейшего анализа результатов расчетов (табл. 16).</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табл. 10 можно провести оценку полученных результатов и сделать вывод, что отчуждение 20% высоколиквидных активов для получения инвестиционного дохода не приводит к значительному ухудшению показателей ликвидности, которые остаются в пределах допустимых значений, а показатели, зависящие от величины капитала показывают изменения в лучшую сторону.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коэффициент достаточности капитала увеличился на 2,45% и стал удовлетворять условиям ограничений, чего фактически не наблюдалось в 2011 году, когда величина рассматриваемого критерия была равна 8,27%, на 1,73% ниже минимально допустимой величины для данного параметра.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доходных активов в общей сумме активов снизился с 80,09% до 79,59% (на 0,50%) и стал ближе к ограничивающему интервалу в 65-75%.</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нормативов ликвидности, то отмечается тенденция их снижения в пределах установленных ограничении.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Положительным моментов является снижение максимального размера </w:t>
      </w:r>
      <w:r>
        <w:rPr>
          <w:rFonts w:ascii="Times New Roman CYR" w:hAnsi="Times New Roman CYR" w:cs="Times New Roman CYR"/>
          <w:sz w:val="28"/>
          <w:szCs w:val="28"/>
        </w:rPr>
        <w:lastRenderedPageBreak/>
        <w:t>крупных кредитных рисков на 336,63% до 631,89%, что удовлетворяет максимальному ограничению в 800%.</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наблюдается рост норматива использования собственных средств ОАО «Московский индустриальный банк» для приобретения долей других юридических лиц с 0,12% до 22,97%. Абсолютное значение приближается к максимально допустимому, что говорит о том, что по данному направлению управление ликвидностью и риском ликвидности осуществляется наиболее эффективно.</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10.</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показателей ликвидности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3"/>
        <w:gridCol w:w="1213"/>
        <w:gridCol w:w="1079"/>
        <w:gridCol w:w="1251"/>
        <w:gridCol w:w="1523"/>
      </w:tblGrid>
      <w:tr w:rsidR="00303476">
        <w:tc>
          <w:tcPr>
            <w:tcW w:w="5716"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коэффициентов и нормативов ликвидности</w:t>
            </w:r>
          </w:p>
        </w:tc>
        <w:tc>
          <w:tcPr>
            <w:tcW w:w="2330"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Абсолютн</w:t>
            </w:r>
            <w:proofErr w:type="spellEnd"/>
            <w:r>
              <w:rPr>
                <w:rFonts w:ascii="Times New Roman CYR" w:hAnsi="Times New Roman CYR" w:cs="Times New Roman CYR"/>
                <w:sz w:val="20"/>
                <w:szCs w:val="20"/>
              </w:rPr>
              <w:t>. отклонен. (±)</w:t>
            </w:r>
          </w:p>
        </w:tc>
      </w:tr>
      <w:tr w:rsidR="00303476">
        <w:tc>
          <w:tcPr>
            <w:tcW w:w="5716"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фактич</w:t>
            </w:r>
            <w:proofErr w:type="spellEnd"/>
            <w:r>
              <w:rPr>
                <w:rFonts w:ascii="Times New Roman CYR" w:hAnsi="Times New Roman CYR" w:cs="Times New Roman CYR"/>
                <w:sz w:val="20"/>
                <w:szCs w:val="20"/>
              </w:rPr>
              <w:t>. знач.</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прогнозн</w:t>
            </w:r>
            <w:proofErr w:type="spellEnd"/>
            <w:r>
              <w:rPr>
                <w:rFonts w:ascii="Times New Roman CYR" w:hAnsi="Times New Roman CYR" w:cs="Times New Roman CYR"/>
                <w:sz w:val="20"/>
                <w:szCs w:val="20"/>
              </w:rPr>
              <w:t>. знач.</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r>
      <w:tr w:rsidR="00303476">
        <w:tc>
          <w:tcPr>
            <w:tcW w:w="5716"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достаточности капитала</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К1 (Н1) (</w:t>
            </w:r>
            <w:r>
              <w:rPr>
                <w:rFonts w:ascii="Times New Roman CYR" w:hAnsi="Times New Roman CYR" w:cs="Times New Roman CYR"/>
                <w:sz w:val="20"/>
                <w:szCs w:val="20"/>
                <w:lang w:val="en-US"/>
              </w:rPr>
              <w:t>min 10%)</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8,27</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10,72</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+2,45</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Доля уставного фонда в капитале банка</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К2 (15-50%)</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26,65</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20,48</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-6,17</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Уровень доходных активов</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К3 (65-75%)</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80,09</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79,59</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-0,50</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размещения платных ресурсов</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К4 (</w:t>
            </w:r>
            <w:r>
              <w:rPr>
                <w:rFonts w:ascii="Times New Roman CYR" w:hAnsi="Times New Roman CYR" w:cs="Times New Roman CYR"/>
                <w:sz w:val="20"/>
                <w:szCs w:val="20"/>
                <w:lang w:val="en-US"/>
              </w:rPr>
              <w:t>max 120%</w:t>
            </w:r>
            <w:r>
              <w:rPr>
                <w:rFonts w:ascii="Times New Roman CYR" w:hAnsi="Times New Roman CYR" w:cs="Times New Roman CYR"/>
                <w:sz w:val="20"/>
                <w:szCs w:val="20"/>
              </w:rPr>
              <w:t>)</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109,56</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113,02</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+3,46</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мгновенной ликвидности</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К5</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13,98</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11,18</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-2,80</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общей ликвидности</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К6</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61,22</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47,24</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-13,98</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К7 (0,5-5</w:t>
            </w:r>
            <w:r>
              <w:rPr>
                <w:rFonts w:ascii="Times New Roman CYR" w:hAnsi="Times New Roman CYR" w:cs="Times New Roman CYR"/>
                <w:sz w:val="20"/>
                <w:szCs w:val="20"/>
                <w:lang w:val="en-US"/>
              </w:rPr>
              <w:t>%)</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 уставного фонда</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К8</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8,57</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8,57</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 доходных активов</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К9</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12,06</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12,44</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+0,38</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мгновенной ликвидности</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Н2 (</w:t>
            </w:r>
            <w:r>
              <w:rPr>
                <w:rFonts w:ascii="Times New Roman CYR" w:hAnsi="Times New Roman CYR" w:cs="Times New Roman CYR"/>
                <w:sz w:val="20"/>
                <w:szCs w:val="20"/>
                <w:lang w:val="en-US"/>
              </w:rPr>
              <w:t>min 1</w:t>
            </w:r>
            <w:r>
              <w:rPr>
                <w:rFonts w:ascii="Times New Roman CYR" w:hAnsi="Times New Roman CYR" w:cs="Times New Roman CYR"/>
                <w:sz w:val="20"/>
                <w:szCs w:val="20"/>
              </w:rPr>
              <w:t>5</w:t>
            </w:r>
            <w:r>
              <w:rPr>
                <w:rFonts w:ascii="Times New Roman CYR" w:hAnsi="Times New Roman CYR" w:cs="Times New Roman CYR"/>
                <w:sz w:val="20"/>
                <w:szCs w:val="20"/>
                <w:lang w:val="en-US"/>
              </w:rPr>
              <w:t>%)</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34,59</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27,67</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-9,92</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текущей ликвидности</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Н3 (</w:t>
            </w:r>
            <w:r>
              <w:rPr>
                <w:rFonts w:ascii="Times New Roman CYR" w:hAnsi="Times New Roman CYR" w:cs="Times New Roman CYR"/>
                <w:sz w:val="20"/>
                <w:szCs w:val="20"/>
                <w:lang w:val="en-US"/>
              </w:rPr>
              <w:t xml:space="preserve">min </w:t>
            </w:r>
            <w:r>
              <w:rPr>
                <w:rFonts w:ascii="Times New Roman CYR" w:hAnsi="Times New Roman CYR" w:cs="Times New Roman CYR"/>
                <w:sz w:val="20"/>
                <w:szCs w:val="20"/>
              </w:rPr>
              <w:t>5</w:t>
            </w:r>
            <w:r>
              <w:rPr>
                <w:rFonts w:ascii="Times New Roman CYR" w:hAnsi="Times New Roman CYR" w:cs="Times New Roman CYR"/>
                <w:sz w:val="20"/>
                <w:szCs w:val="20"/>
                <w:lang w:val="en-US"/>
              </w:rPr>
              <w:t>0%)</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91,87</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91,87</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долгосрочной ликвидности</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Н4 (</w:t>
            </w:r>
            <w:r>
              <w:rPr>
                <w:rFonts w:ascii="Times New Roman CYR" w:hAnsi="Times New Roman CYR" w:cs="Times New Roman CYR"/>
                <w:sz w:val="20"/>
                <w:szCs w:val="20"/>
                <w:lang w:val="en-US"/>
              </w:rPr>
              <w:t>max 1</w:t>
            </w:r>
            <w:r>
              <w:rPr>
                <w:rFonts w:ascii="Times New Roman CYR" w:hAnsi="Times New Roman CYR" w:cs="Times New Roman CYR"/>
                <w:sz w:val="20"/>
                <w:szCs w:val="20"/>
              </w:rPr>
              <w:t>2</w:t>
            </w:r>
            <w:r>
              <w:rPr>
                <w:rFonts w:ascii="Times New Roman CYR" w:hAnsi="Times New Roman CYR" w:cs="Times New Roman CYR"/>
                <w:sz w:val="20"/>
                <w:szCs w:val="20"/>
                <w:lang w:val="en-US"/>
              </w:rPr>
              <w:t>0%)</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53,12</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41,16</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-11,96</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Максимальный размер крупных кредитных рисков</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Н7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80</w:t>
            </w:r>
            <w:r>
              <w:rPr>
                <w:rFonts w:ascii="Times New Roman CYR" w:hAnsi="Times New Roman CYR" w:cs="Times New Roman CYR"/>
                <w:sz w:val="20"/>
                <w:szCs w:val="20"/>
                <w:lang w:val="en-US"/>
              </w:rPr>
              <w:t>0%)</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968,52</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631,89</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-336,63</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совокупной величины кредитов и займов, выданных акционерам банка</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Н9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5</w:t>
            </w:r>
            <w:r>
              <w:rPr>
                <w:rFonts w:ascii="Times New Roman CYR" w:hAnsi="Times New Roman CYR" w:cs="Times New Roman CYR"/>
                <w:sz w:val="20"/>
                <w:szCs w:val="20"/>
                <w:lang w:val="en-US"/>
              </w:rPr>
              <w:t>0%)</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30,59</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23,59</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-7,00</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Отношение совокупной величины кредитов и займов, выданных инсайдерам, к капиталу</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Н10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3</w:t>
            </w:r>
            <w:r>
              <w:rPr>
                <w:rFonts w:ascii="Times New Roman CYR" w:hAnsi="Times New Roman CYR" w:cs="Times New Roman CYR"/>
                <w:sz w:val="20"/>
                <w:szCs w:val="20"/>
                <w:lang w:val="en-US"/>
              </w:rPr>
              <w:t>%)</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5,82</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4,49</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r w:rsidR="00303476">
        <w:tc>
          <w:tcPr>
            <w:tcW w:w="450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Норматив использования собственных средств банка для приобретения долей других юридических лиц</w:t>
            </w:r>
          </w:p>
        </w:tc>
        <w:tc>
          <w:tcPr>
            <w:tcW w:w="121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Н12 (</w:t>
            </w:r>
            <w:r>
              <w:rPr>
                <w:rFonts w:ascii="Times New Roman CYR" w:hAnsi="Times New Roman CYR" w:cs="Times New Roman CYR"/>
                <w:sz w:val="20"/>
                <w:szCs w:val="20"/>
                <w:lang w:val="en-US"/>
              </w:rPr>
              <w:t xml:space="preserve">max </w:t>
            </w:r>
            <w:r>
              <w:rPr>
                <w:rFonts w:ascii="Times New Roman CYR" w:hAnsi="Times New Roman CYR" w:cs="Times New Roman CYR"/>
                <w:sz w:val="20"/>
                <w:szCs w:val="20"/>
              </w:rPr>
              <w:t>25</w:t>
            </w:r>
            <w:r>
              <w:rPr>
                <w:rFonts w:ascii="Times New Roman CYR" w:hAnsi="Times New Roman CYR" w:cs="Times New Roman CYR"/>
                <w:sz w:val="20"/>
                <w:szCs w:val="20"/>
                <w:lang w:val="en-US"/>
              </w:rPr>
              <w:t>%)</w:t>
            </w:r>
          </w:p>
        </w:tc>
        <w:tc>
          <w:tcPr>
            <w:tcW w:w="107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25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22,97</w:t>
            </w:r>
          </w:p>
        </w:tc>
        <w:tc>
          <w:tcPr>
            <w:tcW w:w="15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+22,85</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норматива мгновенной ликвидности на 9,92% с 34,59% до 27,67% связано с отвлечением части высоколиквидных активов и является приемлемым в данной ситуации, так как показатель по-прежнему значительно выше минимально допустимой величины, а данный метод снижения риска ликвидности поможет банку получить дополнительный доход в виде дивидендов </w:t>
      </w:r>
      <w:r>
        <w:rPr>
          <w:rFonts w:ascii="Times New Roman CYR" w:hAnsi="Times New Roman CYR" w:cs="Times New Roman CYR"/>
          <w:sz w:val="28"/>
          <w:szCs w:val="28"/>
        </w:rPr>
        <w:lastRenderedPageBreak/>
        <w:t>по акциям или прибыли от их продажи в момент роста рыночных цен на данный вид акций.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третьей главе выпускной квалификационной работы были представлены не только теоретически возможные направления совершенствования и повышения эффективности процесса управления ликвидностью, но также и прикладные рекомендации в рамках мероприятий повышения уровня ликвидности ОАО «Московский индустриальный банк», а также возможностей снижения определенного рода рисков.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Разработанные предложения имеют результативное отображение в табличном виде, где наглядно сравнивались коэффициенты и нормативы ликвидности коммерческой организации, фактически имеющие место в 2011 году, и при применении нововведений. Проведенный анализ полученных результатов показал, что вводимые мероприятия в значительной мере повышают эффективность деятельности банка и совершенствуют процесс управления ликвидностью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развития банковской сферы в России процесс управления кредитной организацией является довольно сложным и трудоемким, а в качестве одной из важнейших его задач ставится обеспечение соответствующего уровня ликвидности, представляющего собой возможность своевременно в полном объеме и без потерь обеспечивать выполнение своих долговых и финансовых обязательств перед всеми контрагентами.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глава настоящей работы посвящена изучению теоретических аспектов процесса управления ликвидностью банка:</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были раскрыты понятие, сущность и характеристика элементов политики управления ликвидностью;</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рассмотрены цели, основные этапы анализа банковской ликвидности, базовые элементы политики управления ликвидностью банка, выявлены макро- и микроэкономические факторы, влияющие на изучаемую категорию;</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описаны особенности регулирования ликвидности коммерческих банков со стороны Центрального банка Российской Федерации;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выделены наиболее распространенные методы управления ликвидностью (метод общего фонда средств, метод распределения активов или метод конверсии средств, метод управления резервной позицией, метод </w:t>
      </w:r>
      <w:proofErr w:type="spellStart"/>
      <w:r>
        <w:rPr>
          <w:rFonts w:ascii="Times New Roman CYR" w:hAnsi="Times New Roman CYR" w:cs="Times New Roman CYR"/>
          <w:sz w:val="28"/>
          <w:szCs w:val="28"/>
        </w:rPr>
        <w:t>секьютеризации</w:t>
      </w:r>
      <w:proofErr w:type="spellEnd"/>
      <w:r>
        <w:rPr>
          <w:rFonts w:ascii="Times New Roman CYR" w:hAnsi="Times New Roman CYR" w:cs="Times New Roman CYR"/>
          <w:sz w:val="28"/>
          <w:szCs w:val="28"/>
        </w:rPr>
        <w:t>).</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выпускной квалификационной работы особое внимание было уделено оценке деятельности ОАО «Московский индустриальный банк», а также анализу процесса управления ликвидностью на основе изучения структуры и динамики капитала банка, привлеченных средств и активов. Проведена группировка доходности активов, произведен анализ соотношения </w:t>
      </w:r>
      <w:r>
        <w:rPr>
          <w:rFonts w:ascii="Times New Roman CYR" w:hAnsi="Times New Roman CYR" w:cs="Times New Roman CYR"/>
          <w:sz w:val="28"/>
          <w:szCs w:val="28"/>
        </w:rPr>
        <w:lastRenderedPageBreak/>
        <w:t>собственных и привлеченных средств, доходности основных работающих активов, динамики и структуры активов банка по степени ликвидности, проведена непосредственно оценка ликвидности банка, анализ и оценка обязательных нормативов деятельности кредитной организации, уровня достаточности капитала, анализ мгновенной, текущей и долгосрочной ликвидности, а также анализ ликвидности банка как потока денежных средств.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осуществления анализа была использована консолидированная отчетность ОАО «Московский Индустриальный банк» за 2009-2011 гг. (Приложение 7).</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проведенных исследований были выявлены определенные негативные моменты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заключающиеся в следующем:</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Соотношение собственных и заемных средств банка в течение анализируемого периода времени меньше 1, причем его величина снижается от 2009 года до 2011 года с 0,14 до 0,09. Это означает, что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проводит активные операции в основном за счет привлеченных средств, что увеличивает риск невозврата средств вкладчиков.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доходности основных работающих активов банка показывает, что наименьшие доходы были получены от размещения средств в кредитных организациях (7,71% - в 2009 году, 4,08% - в 2010 году, 4,58% - в 2011 году) и от инвестиционных ценных бумаг (менее 1% на протяжении всего исследуемого временного промежутка).</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Относительно коэффициента достаточности капитала прослеживается негативная тенденция снижения его величины ниже минимального предельно допустимого значения в 10% в 2010 году (9,84%) и в 2011 году (8,27%), что свидетельствует о дефиците собственных средств. Причем следует отметить, что наибольший удельный вес в структуре капитала занимает нераспределенная прибыль ( от 33,03% в 2009 году до 39,61% в 2011 году).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Уровень доходных активов напротив превышает предельно допустимые значения в 65-75%. Этот факт указывает на относительно невысокий уровень управления активами и ликвидностью, поскольку высокая доля данного параметра увеличивает неустойчивость банка и риски неплатежей как по текущим операциям, так и по своим обязательствам.</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Превышены значения максимального размера риска на одного заемщика или группу связанных заемщиков в 25%, имея 25,78% в 2010 году и 26,31% в 2011 году, а также максимальный размер крупных кредитных рисков, который в 2010 году превышал максимально допустимую в 800% величину на 21,74%, а в 2011 году - на 168,52%.</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Несмотря на то, что нормативы ликвидности (мгновенной, текущей, долгосрочной) удовлетворяют установленным ограничениям, опыт работы коммерческих организаций показывает, что банки получают больше прибыли, когда функционируют на грани минимально допустимых значений нормативов ликвидности, то есть полностью используют предоставляемые им права по привлечению денежных средств в качестве кредитных ресурсов.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вышеперечисленные проблемные моменты деятельности и процесса управления ликвидностью ОАО «Московский индустриальный банк» послужили отправной точкой для разработки мероприятий по повышению качества управления ликвидностью и нахождению возможностей устранения сопутствующих рисков.</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одного из направлений совершенствования политики управления активами и ликвидностью было предложено некоторым образом изменить структуру активов. Были спрогнозированы показатели и нормативы ликвидности при условии снижения величины высоколиквидных активов на 20%, общей суммы доходных активов - на 7%, показателя «кредиты выданные и депозиты размещенные сроком свыше 1 года» - на 20% в составе общей суммы </w:t>
      </w:r>
      <w:r>
        <w:rPr>
          <w:rFonts w:ascii="Times New Roman CYR" w:hAnsi="Times New Roman CYR" w:cs="Times New Roman CYR"/>
          <w:sz w:val="28"/>
          <w:szCs w:val="28"/>
        </w:rPr>
        <w:lastRenderedPageBreak/>
        <w:t>доходных активов, а также соответственного увеличения иммобилизованных активов в разрезе основных средств с целью расширения банковской сети отделений.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предложено рассмотреть вариант вложения собственных средств в акции других успешных юридических лиц, что позволит банку получить дополнительный доход в виде дивидендов по акциям либо прибыли от их продажи в момент роста рыночных цен на данный вид акций.</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по обоим вариантам результаты расчетов свидетельствуют о том, что направления совершенствования были выбраны верно, поскольку вводимые мероприятия в значительной мере повышают эффективность деятельности ОАО «Московский индустриальный банк» и совершенствуют процесс управления ликвидностью и связанными с ним рисками.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проведенного для написания выпускной квалификационной работы исследования можно было сделать следующие выводы:</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Финансовые результаты деятельности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за исследуемый период времени 2009-2011 гг. имели довольно устойчивую тенденцию;</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Несмотря на влияние финансового кризиса, банк продолжает довольно стабильно и эффективно работать;</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Доходность активов в ОАО «Московский индустриальный банк» в анализируемом временном промежутке увеличивается и сохраняет положительную динамику.</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хотелось бы отметить, что анализируемая кредитная организация имеет довольно высокий потенциал для своего развития и способен добиться роста показателей, характеризующих результаты его финансовой деятельности.</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tabs>
          <w:tab w:val="left" w:pos="1276"/>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литературы</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rPr>
          <w:rFonts w:ascii="Times New Roman CYR" w:hAnsi="Times New Roman CYR" w:cs="Times New Roman CYR"/>
          <w:b/>
          <w:bCs/>
          <w:sz w:val="28"/>
          <w:szCs w:val="28"/>
        </w:rPr>
      </w:pPr>
      <w:r>
        <w:rPr>
          <w:rFonts w:ascii="Times New Roman CYR" w:hAnsi="Times New Roman CYR" w:cs="Times New Roman CYR"/>
          <w:b/>
          <w:bCs/>
          <w:sz w:val="28"/>
          <w:szCs w:val="28"/>
        </w:rPr>
        <w:t>Нормативно-правовые источники:</w:t>
      </w:r>
    </w:p>
    <w:p w:rsidR="00303476" w:rsidRDefault="00303476">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Федеральный закон «О Центральном банке Российской Федерации (Банке России)» № 86-ФЗ от 10июля2002 года(в ред. Федеральных законов </w:t>
      </w:r>
      <w:r>
        <w:rPr>
          <w:rFonts w:ascii="Times New Roman CYR" w:hAnsi="Times New Roman CYR" w:cs="Times New Roman CYR"/>
          <w:color w:val="000000"/>
          <w:sz w:val="28"/>
          <w:szCs w:val="28"/>
        </w:rPr>
        <w:t>№ 291-ФЗ, от 07.02.2011 № 10-ФЗ, от 27.06.2011 № 162-ФЗ, от 19.10.2011 № 285-ФЗ, применяется с учетом положений Федеральных законов от 22.09.2009 № 218-ФЗ, от 30.09.2010 № 245-ФЗ (ред. 06.10.2011)).</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Инструкция Банка России от 16.01.2006 № 110-И «Об обязательных нормативах банков (с изменениями на 29 июля 2007 года)» /Вестник Банка России, № 11, 11.02.2006</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Указание ЦБР от 16 января 2006 года № 1379-У «Об оценке финансовой устойчивости банка в целях признания её достаточной для участия в системе страхования вкладов».</w:t>
      </w:r>
    </w:p>
    <w:p w:rsidR="00303476" w:rsidRDefault="00303476">
      <w:pPr>
        <w:widowControl w:val="0"/>
        <w:autoSpaceDE w:val="0"/>
        <w:autoSpaceDN w:val="0"/>
        <w:adjustRightInd w:val="0"/>
        <w:spacing w:after="0" w:line="360" w:lineRule="auto"/>
        <w:rPr>
          <w:rFonts w:ascii="Times New Roman CYR" w:hAnsi="Times New Roman CYR" w:cs="Times New Roman CYR"/>
          <w:b/>
          <w:bCs/>
          <w:sz w:val="28"/>
          <w:szCs w:val="28"/>
        </w:rPr>
      </w:pPr>
    </w:p>
    <w:p w:rsidR="00303476" w:rsidRDefault="00303476">
      <w:pPr>
        <w:widowControl w:val="0"/>
        <w:autoSpaceDE w:val="0"/>
        <w:autoSpaceDN w:val="0"/>
        <w:adjustRightInd w:val="0"/>
        <w:spacing w:after="0" w:line="360" w:lineRule="auto"/>
        <w:rPr>
          <w:rFonts w:ascii="Times New Roman CYR" w:hAnsi="Times New Roman CYR" w:cs="Times New Roman CYR"/>
          <w:b/>
          <w:bCs/>
          <w:sz w:val="28"/>
          <w:szCs w:val="28"/>
        </w:rPr>
      </w:pPr>
      <w:r>
        <w:rPr>
          <w:rFonts w:ascii="Times New Roman CYR" w:hAnsi="Times New Roman CYR" w:cs="Times New Roman CYR"/>
          <w:b/>
          <w:bCs/>
          <w:sz w:val="28"/>
          <w:szCs w:val="28"/>
        </w:rPr>
        <w:t>Монографии, учебники, учебные пособия:</w:t>
      </w:r>
    </w:p>
    <w:p w:rsidR="00303476" w:rsidRDefault="00303476">
      <w:pPr>
        <w:widowControl w:val="0"/>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Анализ финансовых результатов банковской деятельности: Учебное пособие / </w:t>
      </w:r>
      <w:proofErr w:type="spellStart"/>
      <w:r>
        <w:rPr>
          <w:rFonts w:ascii="Times New Roman CYR" w:hAnsi="Times New Roman CYR" w:cs="Times New Roman CYR"/>
          <w:sz w:val="28"/>
          <w:szCs w:val="28"/>
        </w:rPr>
        <w:t>Буевич</w:t>
      </w:r>
      <w:proofErr w:type="spellEnd"/>
      <w:r>
        <w:rPr>
          <w:rFonts w:ascii="Times New Roman CYR" w:hAnsi="Times New Roman CYR" w:cs="Times New Roman CYR"/>
          <w:sz w:val="28"/>
          <w:szCs w:val="28"/>
        </w:rPr>
        <w:t xml:space="preserve"> С.Ю., Королев О.Г. - М.: КНОРУС, 2007. - 160 с.</w:t>
      </w:r>
    </w:p>
    <w:p w:rsidR="00303476" w:rsidRDefault="00303476">
      <w:pPr>
        <w:widowControl w:val="0"/>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Банковское дело: управление технологий. Учеб. пособие для вузов / Под ред. Тавасиева А.М. -М.: ЮНИТИ-ДАНА, 2008.</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Банковское дело: стратегическое руководство- 2-е изд. - М.: Издательство «</w:t>
      </w:r>
      <w:proofErr w:type="spellStart"/>
      <w:r>
        <w:rPr>
          <w:rFonts w:ascii="Times New Roman CYR" w:hAnsi="Times New Roman CYR" w:cs="Times New Roman CYR"/>
          <w:sz w:val="28"/>
          <w:szCs w:val="28"/>
        </w:rPr>
        <w:t>Консалтбанкир</w:t>
      </w:r>
      <w:proofErr w:type="spellEnd"/>
      <w:r>
        <w:rPr>
          <w:rFonts w:ascii="Times New Roman CYR" w:hAnsi="Times New Roman CYR" w:cs="Times New Roman CYR"/>
          <w:sz w:val="28"/>
          <w:szCs w:val="28"/>
        </w:rPr>
        <w:t>», 2007. - 432 с.</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Банковское дело. Учебник / Под ред. Г.Г. Коробовой - М.: Юность, 2007.</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Банковская система России. Настольная книга банкира. Книга I / Под ред. Грязновой А.Г., Лаврушина О.В. и др. -М.: ООО </w:t>
      </w:r>
      <w:proofErr w:type="spellStart"/>
      <w:r>
        <w:rPr>
          <w:rFonts w:ascii="Times New Roman CYR" w:hAnsi="Times New Roman CYR" w:cs="Times New Roman CYR"/>
          <w:sz w:val="28"/>
          <w:szCs w:val="28"/>
        </w:rPr>
        <w:t>Инжинирингово</w:t>
      </w:r>
      <w:proofErr w:type="spellEnd"/>
      <w:r>
        <w:rPr>
          <w:rFonts w:ascii="Times New Roman CYR" w:hAnsi="Times New Roman CYR" w:cs="Times New Roman CYR"/>
          <w:sz w:val="28"/>
          <w:szCs w:val="28"/>
        </w:rPr>
        <w:t>- консалтинговая компания «</w:t>
      </w:r>
      <w:proofErr w:type="spellStart"/>
      <w:r>
        <w:rPr>
          <w:rFonts w:ascii="Times New Roman CYR" w:hAnsi="Times New Roman CYR" w:cs="Times New Roman CYR"/>
          <w:sz w:val="28"/>
          <w:szCs w:val="28"/>
        </w:rPr>
        <w:t>ДеКА</w:t>
      </w:r>
      <w:proofErr w:type="spellEnd"/>
      <w:r>
        <w:rPr>
          <w:rFonts w:ascii="Times New Roman CYR" w:hAnsi="Times New Roman CYR" w:cs="Times New Roman CYR"/>
          <w:sz w:val="28"/>
          <w:szCs w:val="28"/>
        </w:rPr>
        <w:t>», 2008. - 688 с.</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Банковский менеджмент: задачи и решения. Учебно-практическое пособие </w:t>
      </w:r>
      <w:r>
        <w:rPr>
          <w:rFonts w:ascii="Times New Roman CYR" w:hAnsi="Times New Roman CYR" w:cs="Times New Roman CYR"/>
          <w:sz w:val="28"/>
          <w:szCs w:val="28"/>
        </w:rPr>
        <w:lastRenderedPageBreak/>
        <w:t>/ Г.И. Просветов. - М.: АЛЬФА, 2009.</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Комплексный анализ финансово-экономических результатов деятельности банка и его филиалов / Л.Т. Гиляровская, С.Н. </w:t>
      </w:r>
      <w:proofErr w:type="spellStart"/>
      <w:r>
        <w:rPr>
          <w:rFonts w:ascii="Times New Roman CYR" w:hAnsi="Times New Roman CYR" w:cs="Times New Roman CYR"/>
          <w:sz w:val="28"/>
          <w:szCs w:val="28"/>
        </w:rPr>
        <w:t>Паневина</w:t>
      </w:r>
      <w:proofErr w:type="spellEnd"/>
      <w:r>
        <w:rPr>
          <w:rFonts w:ascii="Times New Roman CYR" w:hAnsi="Times New Roman CYR" w:cs="Times New Roman CYR"/>
          <w:sz w:val="28"/>
          <w:szCs w:val="28"/>
        </w:rPr>
        <w:t>. - СПб.: Питер, 2007. - 240 с.</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Основы банковского дела в Российской федерации: Учеб. Пособие / Под ред. </w:t>
      </w:r>
      <w:proofErr w:type="spellStart"/>
      <w:r>
        <w:rPr>
          <w:rFonts w:ascii="Times New Roman CYR" w:hAnsi="Times New Roman CYR" w:cs="Times New Roman CYR"/>
          <w:sz w:val="28"/>
          <w:szCs w:val="28"/>
        </w:rPr>
        <w:t>Сименюты</w:t>
      </w:r>
      <w:proofErr w:type="spellEnd"/>
      <w:r>
        <w:rPr>
          <w:rFonts w:ascii="Times New Roman CYR" w:hAnsi="Times New Roman CYR" w:cs="Times New Roman CYR"/>
          <w:sz w:val="28"/>
          <w:szCs w:val="28"/>
        </w:rPr>
        <w:t xml:space="preserve"> О.Г. - Ростов н/Д: Феникс 2008.</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Основы банковской деятельности. Учеб. пособие / Под ред. К.Р. </w:t>
      </w:r>
      <w:proofErr w:type="spellStart"/>
      <w:r>
        <w:rPr>
          <w:rFonts w:ascii="Times New Roman CYR" w:hAnsi="Times New Roman CYR" w:cs="Times New Roman CYR"/>
          <w:sz w:val="28"/>
          <w:szCs w:val="28"/>
        </w:rPr>
        <w:t>Тагирбекова</w:t>
      </w:r>
      <w:proofErr w:type="spellEnd"/>
      <w:r>
        <w:rPr>
          <w:rFonts w:ascii="Times New Roman CYR" w:hAnsi="Times New Roman CYR" w:cs="Times New Roman CYR"/>
          <w:sz w:val="28"/>
          <w:szCs w:val="28"/>
        </w:rPr>
        <w:t>.-М: ИНФРА-М, 2008.</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Современные деньги и банковское дело. Р.Л. Миллер, Д.Д. Ван-</w:t>
      </w:r>
      <w:proofErr w:type="spellStart"/>
      <w:r>
        <w:rPr>
          <w:rFonts w:ascii="Times New Roman CYR" w:hAnsi="Times New Roman CYR" w:cs="Times New Roman CYR"/>
          <w:sz w:val="28"/>
          <w:szCs w:val="28"/>
        </w:rPr>
        <w:t>Хуз</w:t>
      </w:r>
      <w:proofErr w:type="spellEnd"/>
      <w:r>
        <w:rPr>
          <w:rFonts w:ascii="Times New Roman CYR" w:hAnsi="Times New Roman CYR" w:cs="Times New Roman CYR"/>
          <w:sz w:val="28"/>
          <w:szCs w:val="28"/>
        </w:rPr>
        <w:t>. - М.: ИНФРА-М, 2008.</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финансовыми потоками коммерческих </w:t>
      </w:r>
      <w:proofErr w:type="spellStart"/>
      <w:r>
        <w:rPr>
          <w:rFonts w:ascii="Times New Roman CYR" w:hAnsi="Times New Roman CYR" w:cs="Times New Roman CYR"/>
          <w:sz w:val="28"/>
          <w:szCs w:val="28"/>
        </w:rPr>
        <w:t>банков.В.В</w:t>
      </w:r>
      <w:proofErr w:type="spellEnd"/>
      <w:r>
        <w:rPr>
          <w:rFonts w:ascii="Times New Roman CYR" w:hAnsi="Times New Roman CYR" w:cs="Times New Roman CYR"/>
          <w:sz w:val="28"/>
          <w:szCs w:val="28"/>
        </w:rPr>
        <w:t>. Грицаенко, Ю.В. Рожков. - Хабаровск: Изд-во «</w:t>
      </w:r>
      <w:proofErr w:type="spellStart"/>
      <w:r>
        <w:rPr>
          <w:rFonts w:ascii="Times New Roman CYR" w:hAnsi="Times New Roman CYR" w:cs="Times New Roman CYR"/>
          <w:sz w:val="28"/>
          <w:szCs w:val="28"/>
        </w:rPr>
        <w:t>Интелл</w:t>
      </w:r>
      <w:proofErr w:type="spellEnd"/>
      <w:r>
        <w:rPr>
          <w:rFonts w:ascii="Times New Roman CYR" w:hAnsi="Times New Roman CYR" w:cs="Times New Roman CYR"/>
          <w:sz w:val="28"/>
          <w:szCs w:val="28"/>
        </w:rPr>
        <w:t>», 2008.</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активами и пассивами в коммерческом банке / Под </w:t>
      </w:r>
      <w:proofErr w:type="spellStart"/>
      <w:r>
        <w:rPr>
          <w:rFonts w:ascii="Times New Roman CYR" w:hAnsi="Times New Roman CYR" w:cs="Times New Roman CYR"/>
          <w:sz w:val="28"/>
          <w:szCs w:val="28"/>
        </w:rPr>
        <w:t>ред.И.В</w:t>
      </w:r>
      <w:proofErr w:type="spellEnd"/>
      <w:r>
        <w:rPr>
          <w:rFonts w:ascii="Times New Roman CYR" w:hAnsi="Times New Roman CYR" w:cs="Times New Roman CYR"/>
          <w:sz w:val="28"/>
          <w:szCs w:val="28"/>
        </w:rPr>
        <w:t>. Ларионовой. - М.: Издательство «</w:t>
      </w:r>
      <w:proofErr w:type="spellStart"/>
      <w:r>
        <w:rPr>
          <w:rFonts w:ascii="Times New Roman CYR" w:hAnsi="Times New Roman CYR" w:cs="Times New Roman CYR"/>
          <w:sz w:val="28"/>
          <w:szCs w:val="28"/>
        </w:rPr>
        <w:t>Консалтбанкир</w:t>
      </w:r>
      <w:proofErr w:type="spellEnd"/>
      <w:r>
        <w:rPr>
          <w:rFonts w:ascii="Times New Roman CYR" w:hAnsi="Times New Roman CYR" w:cs="Times New Roman CYR"/>
          <w:sz w:val="28"/>
          <w:szCs w:val="28"/>
        </w:rPr>
        <w:t>», 2007. - 272 с.</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Финансово-кредитный энциклопедический словарь / Под ред. д.э.н., проф. А.Г. Грязновой. - М: Финансы и статистика, 2008. - 1168 с.</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Финансовый менеджмент банка: Учебное пособие для вузов / Под ред. Ю.С. </w:t>
      </w:r>
      <w:proofErr w:type="spellStart"/>
      <w:r>
        <w:rPr>
          <w:rFonts w:ascii="Times New Roman CYR" w:hAnsi="Times New Roman CYR" w:cs="Times New Roman CYR"/>
          <w:sz w:val="28"/>
          <w:szCs w:val="28"/>
        </w:rPr>
        <w:t>Масленченкова</w:t>
      </w:r>
      <w:proofErr w:type="spellEnd"/>
      <w:r>
        <w:rPr>
          <w:rFonts w:ascii="Times New Roman CYR" w:hAnsi="Times New Roman CYR" w:cs="Times New Roman CYR"/>
          <w:sz w:val="28"/>
          <w:szCs w:val="28"/>
        </w:rPr>
        <w:t>. - М.: ЮНИТИ-ДАНА, 2007. - 399 с.</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Финансовые институты и рынки: Учебник. Пер. 2-го </w:t>
      </w:r>
      <w:proofErr w:type="spellStart"/>
      <w:r>
        <w:rPr>
          <w:rFonts w:ascii="Times New Roman CYR" w:hAnsi="Times New Roman CYR" w:cs="Times New Roman CYR"/>
          <w:sz w:val="28"/>
          <w:szCs w:val="28"/>
        </w:rPr>
        <w:t>америк</w:t>
      </w:r>
      <w:proofErr w:type="spellEnd"/>
      <w:r>
        <w:rPr>
          <w:rFonts w:ascii="Times New Roman CYR" w:hAnsi="Times New Roman CYR" w:cs="Times New Roman CYR"/>
          <w:sz w:val="28"/>
          <w:szCs w:val="28"/>
        </w:rPr>
        <w:t xml:space="preserve">. издания / Роберт В. Колб, </w:t>
      </w:r>
      <w:proofErr w:type="spellStart"/>
      <w:r>
        <w:rPr>
          <w:rFonts w:ascii="Times New Roman CYR" w:hAnsi="Times New Roman CYR" w:cs="Times New Roman CYR"/>
          <w:sz w:val="28"/>
          <w:szCs w:val="28"/>
        </w:rPr>
        <w:t>Рикардо</w:t>
      </w:r>
      <w:proofErr w:type="spellEnd"/>
      <w:r>
        <w:rPr>
          <w:rFonts w:ascii="Times New Roman CYR" w:hAnsi="Times New Roman CYR" w:cs="Times New Roman CYR"/>
          <w:sz w:val="28"/>
          <w:szCs w:val="28"/>
        </w:rPr>
        <w:t xml:space="preserve"> Дж. Родригес.- М.: Издательство «Дело и Сервис», 2007. - 688 с.</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Экономический словарь / Под редакцией А.И. Архипова. - М, 2001.</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rPr>
          <w:rFonts w:ascii="Times New Roman CYR" w:hAnsi="Times New Roman CYR" w:cs="Times New Roman CYR"/>
          <w:b/>
          <w:bCs/>
          <w:sz w:val="28"/>
          <w:szCs w:val="28"/>
        </w:rPr>
      </w:pPr>
      <w:r>
        <w:rPr>
          <w:rFonts w:ascii="Times New Roman CYR" w:hAnsi="Times New Roman CYR" w:cs="Times New Roman CYR"/>
          <w:b/>
          <w:bCs/>
          <w:sz w:val="28"/>
          <w:szCs w:val="28"/>
        </w:rPr>
        <w:t>Периодические издания:</w:t>
      </w:r>
    </w:p>
    <w:p w:rsidR="00303476" w:rsidRDefault="00303476">
      <w:pPr>
        <w:widowControl w:val="0"/>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Герасимова Е.Б. Комплексный экономический анализ деятельности коммерческого банка // Финансы и кредит. - 2007.- №22. - с. 21</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ГолубевИ.А</w:t>
      </w:r>
      <w:proofErr w:type="spellEnd"/>
      <w:r>
        <w:rPr>
          <w:rFonts w:ascii="Times New Roman CYR" w:hAnsi="Times New Roman CYR" w:cs="Times New Roman CYR"/>
          <w:sz w:val="28"/>
          <w:szCs w:val="28"/>
        </w:rPr>
        <w:t xml:space="preserve">. ГЭП-анализ структурной ликвидности: теория и практика // </w:t>
      </w:r>
      <w:r>
        <w:rPr>
          <w:rFonts w:ascii="Times New Roman CYR" w:hAnsi="Times New Roman CYR" w:cs="Times New Roman CYR"/>
          <w:sz w:val="28"/>
          <w:szCs w:val="28"/>
        </w:rPr>
        <w:lastRenderedPageBreak/>
        <w:t>Финансы и кредит. - 2008. - № 18. - с. 2.</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Данилова Т.Н. Координация деятельности филиалов коммерческого банка как центров прибыльности // Финансы и кредит, № 15. - 2007. - с.9 -17.</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Ключников М.В. Методы построения моделей прогноза основных показателей деятельности коммерческих банков // Финансы и кредит. - 2007. - № 3. - с. 15.</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Коротков А.П. Опыт и проблемы управления рисками в кредитных организациях // Деньги и кредит. - 2008. - №7. - с. 22-24.</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Милета</w:t>
      </w:r>
      <w:proofErr w:type="spellEnd"/>
      <w:r>
        <w:rPr>
          <w:rFonts w:ascii="Times New Roman CYR" w:hAnsi="Times New Roman CYR" w:cs="Times New Roman CYR"/>
          <w:sz w:val="28"/>
          <w:szCs w:val="28"/>
        </w:rPr>
        <w:t xml:space="preserve"> В.И. Финансовый риск коммерческого банка в инвестиционном процессе // Экономика. Управление. Право. - 2008. - №3. - с. 25-30.</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Тимофеева З.А. Практика оценки банком России финансовой устойчивости КБ: особенности и недостатки // Банковское дело 2007. - №14. - с.54-60.</w:t>
      </w:r>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rPr>
          <w:rFonts w:ascii="Times New Roman CYR" w:hAnsi="Times New Roman CYR" w:cs="Times New Roman CYR"/>
          <w:b/>
          <w:bCs/>
          <w:sz w:val="28"/>
          <w:szCs w:val="28"/>
        </w:rPr>
      </w:pPr>
      <w:r>
        <w:rPr>
          <w:rFonts w:ascii="Times New Roman CYR" w:hAnsi="Times New Roman CYR" w:cs="Times New Roman CYR"/>
          <w:b/>
          <w:bCs/>
          <w:sz w:val="28"/>
          <w:szCs w:val="28"/>
        </w:rPr>
        <w:t>Электронные ресурсы:</w:t>
      </w:r>
    </w:p>
    <w:p w:rsidR="00303476" w:rsidRDefault="00303476">
      <w:pPr>
        <w:widowControl w:val="0"/>
        <w:tabs>
          <w:tab w:val="left" w:pos="567"/>
        </w:tabs>
        <w:autoSpaceDE w:val="0"/>
        <w:autoSpaceDN w:val="0"/>
        <w:adjustRightInd w:val="0"/>
        <w:spacing w:after="0" w:line="360" w:lineRule="auto"/>
        <w:rPr>
          <w:rFonts w:ascii="Times New Roman CYR" w:hAnsi="Times New Roman CYR" w:cs="Times New Roman CYR"/>
          <w:sz w:val="28"/>
          <w:szCs w:val="28"/>
        </w:rPr>
      </w:pPr>
      <w:r w:rsidRPr="00E92875">
        <w:rPr>
          <w:rFonts w:ascii="Times New Roman CYR" w:hAnsi="Times New Roman CYR" w:cs="Times New Roman CYR"/>
          <w:sz w:val="28"/>
          <w:szCs w:val="28"/>
        </w:rPr>
        <w:t>27.</w:t>
      </w:r>
      <w:r w:rsidRPr="00E92875">
        <w:rPr>
          <w:rFonts w:ascii="Times New Roman CYR" w:hAnsi="Times New Roman CYR" w:cs="Times New Roman CYR"/>
          <w:sz w:val="28"/>
          <w:szCs w:val="28"/>
        </w:rPr>
        <w:tab/>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cbr</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sidRPr="00E92875">
        <w:rPr>
          <w:rFonts w:ascii="Times New Roman CYR" w:hAnsi="Times New Roman CYR" w:cs="Times New Roman CYR"/>
          <w:sz w:val="28"/>
          <w:szCs w:val="28"/>
        </w:rPr>
        <w:t>28.</w:t>
      </w:r>
      <w:r w:rsidRPr="00E92875">
        <w:rPr>
          <w:rFonts w:ascii="Times New Roman CYR" w:hAnsi="Times New Roman CYR" w:cs="Times New Roman CYR"/>
          <w:sz w:val="28"/>
          <w:szCs w:val="28"/>
        </w:rPr>
        <w:tab/>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minbank</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p>
    <w:p w:rsidR="00303476" w:rsidRDefault="00303476">
      <w:pPr>
        <w:widowControl w:val="0"/>
        <w:autoSpaceDE w:val="0"/>
        <w:autoSpaceDN w:val="0"/>
        <w:adjustRightInd w:val="0"/>
        <w:spacing w:after="0" w:line="360" w:lineRule="auto"/>
        <w:rPr>
          <w:rFonts w:ascii="Times New Roman CYR" w:hAnsi="Times New Roman CYR" w:cs="Times New Roman CYR"/>
          <w:sz w:val="28"/>
          <w:szCs w:val="28"/>
        </w:rPr>
      </w:pPr>
      <w:r w:rsidRPr="00E92875">
        <w:rPr>
          <w:rFonts w:ascii="Times New Roman CYR" w:hAnsi="Times New Roman CYR" w:cs="Times New Roman CYR"/>
          <w:sz w:val="28"/>
          <w:szCs w:val="28"/>
        </w:rPr>
        <w:t>29.</w:t>
      </w:r>
      <w:r w:rsidRPr="00E92875">
        <w:rPr>
          <w:rFonts w:ascii="Times New Roman CYR" w:hAnsi="Times New Roman CYR" w:cs="Times New Roman CYR"/>
          <w:sz w:val="28"/>
          <w:szCs w:val="28"/>
        </w:rPr>
        <w:tab/>
      </w:r>
      <w:r>
        <w:rPr>
          <w:rFonts w:ascii="Times New Roman CYR" w:hAnsi="Times New Roman CYR" w:cs="Times New Roman CYR"/>
          <w:sz w:val="28"/>
          <w:szCs w:val="28"/>
          <w:lang w:val="en-US"/>
        </w:rPr>
        <w:t>www</w:t>
      </w:r>
      <w:r w:rsidRPr="00E92875">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bankslist</w:t>
      </w:r>
      <w:proofErr w:type="spellEnd"/>
      <w:r w:rsidRPr="00E92875">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p>
    <w:p w:rsidR="00303476" w:rsidRPr="00E92875"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E92875">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1</w:t>
      </w:r>
    </w:p>
    <w:p w:rsidR="00303476" w:rsidRDefault="00303476">
      <w:pPr>
        <w:widowControl w:val="0"/>
        <w:tabs>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7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ликвидности, установленные Банком России</w:t>
      </w:r>
    </w:p>
    <w:tbl>
      <w:tblPr>
        <w:tblW w:w="0" w:type="auto"/>
        <w:tblLayout w:type="fixed"/>
        <w:tblLook w:val="0000" w:firstRow="0" w:lastRow="0" w:firstColumn="0" w:lastColumn="0" w:noHBand="0" w:noVBand="0"/>
      </w:tblPr>
      <w:tblGrid>
        <w:gridCol w:w="2204"/>
        <w:gridCol w:w="7365"/>
      </w:tblGrid>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736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Математический инструментарий</w:t>
            </w:r>
          </w:p>
        </w:tc>
      </w:tr>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Показатель соотношения высоколиквидных активов и привлеченных средств  (ПЛ1) </w:t>
            </w:r>
          </w:p>
        </w:tc>
        <w:tc>
          <w:tcPr>
            <w:tcW w:w="7365" w:type="dxa"/>
            <w:tcBorders>
              <w:top w:val="single" w:sz="6" w:space="0" w:color="auto"/>
              <w:left w:val="single" w:sz="6" w:space="0" w:color="auto"/>
              <w:bottom w:val="single" w:sz="6" w:space="0" w:color="auto"/>
              <w:right w:val="single" w:sz="6" w:space="0" w:color="auto"/>
            </w:tcBorders>
          </w:tcPr>
          <w:p w:rsidR="00303476" w:rsidRDefault="00FA14CE">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1028700" cy="3124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28700" cy="31242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где: </w:t>
            </w:r>
            <w:r w:rsidR="00303476">
              <w:rPr>
                <w:rFonts w:ascii="Times New Roman CYR" w:hAnsi="Times New Roman CYR" w:cs="Times New Roman CYR"/>
                <w:b/>
                <w:bCs/>
                <w:color w:val="000000"/>
                <w:sz w:val="20"/>
                <w:szCs w:val="20"/>
              </w:rPr>
              <w:t>ПС</w:t>
            </w:r>
            <w:r w:rsidR="00303476">
              <w:rPr>
                <w:rFonts w:ascii="Times New Roman CYR" w:hAnsi="Times New Roman CYR" w:cs="Times New Roman CYR"/>
                <w:color w:val="000000"/>
                <w:sz w:val="20"/>
                <w:szCs w:val="20"/>
              </w:rPr>
              <w:t xml:space="preserve">= Всего обязательств(ст.22. гр.2 ф.113) - РВП по срочным сделкам и </w:t>
            </w:r>
            <w:proofErr w:type="spellStart"/>
            <w:r w:rsidR="00303476">
              <w:rPr>
                <w:rFonts w:ascii="Times New Roman CYR" w:hAnsi="Times New Roman CYR" w:cs="Times New Roman CYR"/>
                <w:color w:val="000000"/>
                <w:sz w:val="20"/>
                <w:szCs w:val="20"/>
              </w:rPr>
              <w:t>внебалансовым</w:t>
            </w:r>
            <w:proofErr w:type="spellEnd"/>
            <w:r w:rsidR="00303476">
              <w:rPr>
                <w:rFonts w:ascii="Times New Roman CYR" w:hAnsi="Times New Roman CYR" w:cs="Times New Roman CYR"/>
                <w:color w:val="000000"/>
                <w:sz w:val="20"/>
                <w:szCs w:val="20"/>
              </w:rPr>
              <w:t xml:space="preserve"> обязательствам и по расчетам с дебиторами по операциям с резидентами </w:t>
            </w:r>
            <w:proofErr w:type="spellStart"/>
            <w:r w:rsidR="00303476">
              <w:rPr>
                <w:rFonts w:ascii="Times New Roman CYR" w:hAnsi="Times New Roman CYR" w:cs="Times New Roman CYR"/>
                <w:color w:val="000000"/>
                <w:sz w:val="20"/>
                <w:szCs w:val="20"/>
              </w:rPr>
              <w:t>ффшорных</w:t>
            </w:r>
            <w:proofErr w:type="spellEnd"/>
            <w:r w:rsidR="00303476">
              <w:rPr>
                <w:rFonts w:ascii="Times New Roman CYR" w:hAnsi="Times New Roman CYR" w:cs="Times New Roman CYR"/>
                <w:color w:val="000000"/>
                <w:sz w:val="20"/>
                <w:szCs w:val="20"/>
              </w:rPr>
              <w:t xml:space="preserve"> зон (ст. 21 гр.2 ф.113)  </w:t>
            </w:r>
            <w:r w:rsidR="00303476">
              <w:rPr>
                <w:rFonts w:ascii="Times New Roman CYR" w:hAnsi="Times New Roman CYR" w:cs="Times New Roman CYR"/>
                <w:b/>
                <w:bCs/>
                <w:i/>
                <w:iCs/>
                <w:color w:val="000000"/>
                <w:sz w:val="20"/>
                <w:szCs w:val="20"/>
              </w:rPr>
              <w:t xml:space="preserve">с 01.09.2004 </w:t>
            </w:r>
            <w:r w:rsidR="00303476">
              <w:rPr>
                <w:rFonts w:ascii="Times New Roman CYR" w:hAnsi="Times New Roman CYR" w:cs="Times New Roman CYR"/>
                <w:color w:val="000000"/>
                <w:sz w:val="20"/>
                <w:szCs w:val="20"/>
              </w:rPr>
              <w:t xml:space="preserve"> в части составляющей:  </w:t>
            </w:r>
            <w:r w:rsidR="00303476">
              <w:rPr>
                <w:rFonts w:ascii="Times New Roman CYR" w:hAnsi="Times New Roman CYR" w:cs="Times New Roman CYR"/>
                <w:b/>
                <w:bCs/>
                <w:color w:val="000000"/>
                <w:sz w:val="20"/>
                <w:szCs w:val="20"/>
              </w:rPr>
              <w:t xml:space="preserve">ПС </w:t>
            </w:r>
            <w:r w:rsidR="00303476">
              <w:rPr>
                <w:rFonts w:ascii="Times New Roman CYR" w:hAnsi="Times New Roman CYR" w:cs="Times New Roman CYR"/>
                <w:color w:val="000000"/>
                <w:sz w:val="20"/>
                <w:szCs w:val="20"/>
              </w:rPr>
              <w:t xml:space="preserve">= Всего обязательств(ст.19. гр.3 ф.806) - РВП по условным обязательствам кредитного характера, прочим возможным потерям и по операциям с резидентами оффшорных зон (ст. 18 гр.3 ф.806)  </w:t>
            </w:r>
            <w:r w:rsidR="00303476">
              <w:rPr>
                <w:rFonts w:ascii="Times New Roman CYR" w:hAnsi="Times New Roman CYR" w:cs="Times New Roman CYR"/>
                <w:b/>
                <w:bCs/>
                <w:i/>
                <w:iCs/>
                <w:color w:val="000000"/>
                <w:sz w:val="20"/>
                <w:szCs w:val="20"/>
              </w:rPr>
              <w:t xml:space="preserve">с 01.01.2008 </w:t>
            </w:r>
            <w:r w:rsidR="00303476">
              <w:rPr>
                <w:rFonts w:ascii="Times New Roman CYR" w:hAnsi="Times New Roman CYR" w:cs="Times New Roman CYR"/>
                <w:color w:val="000000"/>
                <w:sz w:val="20"/>
                <w:szCs w:val="20"/>
              </w:rPr>
              <w:t xml:space="preserve"> в части составляющей:  </w:t>
            </w:r>
            <w:r w:rsidR="00303476">
              <w:rPr>
                <w:rFonts w:ascii="Times New Roman CYR" w:hAnsi="Times New Roman CYR" w:cs="Times New Roman CYR"/>
                <w:b/>
                <w:bCs/>
                <w:color w:val="000000"/>
                <w:sz w:val="20"/>
                <w:szCs w:val="20"/>
              </w:rPr>
              <w:t xml:space="preserve">ПС </w:t>
            </w:r>
            <w:r w:rsidR="00303476">
              <w:rPr>
                <w:rFonts w:ascii="Times New Roman CYR" w:hAnsi="Times New Roman CYR" w:cs="Times New Roman CYR"/>
                <w:color w:val="000000"/>
                <w:sz w:val="20"/>
                <w:szCs w:val="20"/>
              </w:rPr>
              <w:t xml:space="preserve">= ст.18 - ст. 17 (ф.806) </w:t>
            </w:r>
          </w:p>
        </w:tc>
      </w:tr>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Показатель структуры привлеченных средств  (ПЛ4) </w:t>
            </w:r>
          </w:p>
        </w:tc>
        <w:tc>
          <w:tcPr>
            <w:tcW w:w="7365" w:type="dxa"/>
            <w:tcBorders>
              <w:top w:val="single" w:sz="6" w:space="0" w:color="auto"/>
              <w:left w:val="single" w:sz="6" w:space="0" w:color="auto"/>
              <w:bottom w:val="single" w:sz="6" w:space="0" w:color="auto"/>
              <w:right w:val="single" w:sz="6" w:space="0" w:color="auto"/>
            </w:tcBorders>
          </w:tcPr>
          <w:p w:rsidR="00303476" w:rsidRDefault="00FA14CE">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1028700" cy="3124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28700" cy="31242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где: </w:t>
            </w:r>
            <w:r w:rsidR="00303476">
              <w:rPr>
                <w:rFonts w:ascii="Times New Roman CYR" w:hAnsi="Times New Roman CYR" w:cs="Times New Roman CYR"/>
                <w:b/>
                <w:bCs/>
                <w:color w:val="000000"/>
                <w:sz w:val="20"/>
                <w:szCs w:val="20"/>
              </w:rPr>
              <w:t>ПС</w:t>
            </w:r>
            <w:r w:rsidR="00303476">
              <w:rPr>
                <w:rFonts w:ascii="Times New Roman CYR" w:hAnsi="Times New Roman CYR" w:cs="Times New Roman CYR"/>
                <w:color w:val="000000"/>
                <w:sz w:val="20"/>
                <w:szCs w:val="20"/>
              </w:rPr>
              <w:t xml:space="preserve">= Всего обязательств(ст.22. гр.2 ф.113) - РВП по срочным сделкам и </w:t>
            </w:r>
            <w:proofErr w:type="spellStart"/>
            <w:r w:rsidR="00303476">
              <w:rPr>
                <w:rFonts w:ascii="Times New Roman CYR" w:hAnsi="Times New Roman CYR" w:cs="Times New Roman CYR"/>
                <w:color w:val="000000"/>
                <w:sz w:val="20"/>
                <w:szCs w:val="20"/>
              </w:rPr>
              <w:t>внебалансовым</w:t>
            </w:r>
            <w:proofErr w:type="spellEnd"/>
            <w:r w:rsidR="00303476">
              <w:rPr>
                <w:rFonts w:ascii="Times New Roman CYR" w:hAnsi="Times New Roman CYR" w:cs="Times New Roman CYR"/>
                <w:color w:val="000000"/>
                <w:sz w:val="20"/>
                <w:szCs w:val="20"/>
              </w:rPr>
              <w:t xml:space="preserve"> обязательствам и по расчетам с дебиторами по операциям с резидентами оффшорных зон (ст. 21 гр.2 ф.113)  </w:t>
            </w:r>
            <w:r w:rsidR="00303476">
              <w:rPr>
                <w:rFonts w:ascii="Times New Roman CYR" w:hAnsi="Times New Roman CYR" w:cs="Times New Roman CYR"/>
                <w:b/>
                <w:bCs/>
                <w:i/>
                <w:iCs/>
                <w:color w:val="000000"/>
                <w:sz w:val="20"/>
                <w:szCs w:val="20"/>
              </w:rPr>
              <w:t xml:space="preserve">с 01.01.2008 </w:t>
            </w:r>
            <w:r w:rsidR="00303476">
              <w:rPr>
                <w:rFonts w:ascii="Times New Roman CYR" w:hAnsi="Times New Roman CYR" w:cs="Times New Roman CYR"/>
                <w:color w:val="000000"/>
                <w:sz w:val="20"/>
                <w:szCs w:val="20"/>
              </w:rPr>
              <w:t xml:space="preserve"> в части составляющей:  </w:t>
            </w:r>
            <w:r w:rsidR="00303476">
              <w:rPr>
                <w:rFonts w:ascii="Times New Roman CYR" w:hAnsi="Times New Roman CYR" w:cs="Times New Roman CYR"/>
                <w:b/>
                <w:bCs/>
                <w:color w:val="000000"/>
                <w:sz w:val="20"/>
                <w:szCs w:val="20"/>
              </w:rPr>
              <w:t xml:space="preserve">ПС </w:t>
            </w:r>
            <w:r w:rsidR="00303476">
              <w:rPr>
                <w:rFonts w:ascii="Times New Roman CYR" w:hAnsi="Times New Roman CYR" w:cs="Times New Roman CYR"/>
                <w:color w:val="000000"/>
                <w:sz w:val="20"/>
                <w:szCs w:val="20"/>
              </w:rPr>
              <w:t xml:space="preserve">= ст.18 - ст. 17 (ф.806) </w:t>
            </w:r>
          </w:p>
        </w:tc>
      </w:tr>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зависимости от межбанковского рынка  (ПЛ5) </w:t>
            </w:r>
          </w:p>
        </w:tc>
        <w:tc>
          <w:tcPr>
            <w:tcW w:w="7365" w:type="dxa"/>
            <w:tcBorders>
              <w:top w:val="single" w:sz="6" w:space="0" w:color="auto"/>
              <w:left w:val="single" w:sz="6" w:space="0" w:color="auto"/>
              <w:bottom w:val="single" w:sz="6" w:space="0" w:color="auto"/>
              <w:right w:val="single" w:sz="6" w:space="0" w:color="auto"/>
            </w:tcBorders>
          </w:tcPr>
          <w:p w:rsidR="00303476" w:rsidRDefault="00FA14CE">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954780" cy="655320"/>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54780" cy="655320"/>
                          </a:xfrm>
                          <a:prstGeom prst="rect">
                            <a:avLst/>
                          </a:prstGeom>
                          <a:noFill/>
                          <a:ln>
                            <a:noFill/>
                          </a:ln>
                        </pic:spPr>
                      </pic:pic>
                    </a:graphicData>
                  </a:graphic>
                </wp:inline>
              </w:drawing>
            </w:r>
          </w:p>
        </w:tc>
      </w:tr>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риска собственных вексельных обязательств (ПЛ6) </w:t>
            </w:r>
          </w:p>
        </w:tc>
        <w:tc>
          <w:tcPr>
            <w:tcW w:w="7365" w:type="dxa"/>
            <w:tcBorders>
              <w:top w:val="single" w:sz="6" w:space="0" w:color="auto"/>
              <w:left w:val="single" w:sz="6" w:space="0" w:color="auto"/>
              <w:bottom w:val="single" w:sz="6" w:space="0" w:color="auto"/>
              <w:right w:val="single" w:sz="6" w:space="0" w:color="auto"/>
            </w:tcBorders>
          </w:tcPr>
          <w:p w:rsidR="00303476" w:rsidRDefault="00FA14CE">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1737360" cy="3124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7360" cy="31242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где: К- собственные средства (капитал) (ст.000 ф.134) </w:t>
            </w:r>
          </w:p>
        </w:tc>
      </w:tr>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Показатель небанковских ссуд  (ПЛ7) </w:t>
            </w:r>
          </w:p>
        </w:tc>
        <w:tc>
          <w:tcPr>
            <w:tcW w:w="7365" w:type="dxa"/>
            <w:tcBorders>
              <w:top w:val="single" w:sz="6" w:space="0" w:color="auto"/>
              <w:left w:val="single" w:sz="6" w:space="0" w:color="auto"/>
              <w:bottom w:val="single" w:sz="6" w:space="0" w:color="auto"/>
              <w:right w:val="single" w:sz="6" w:space="0" w:color="auto"/>
            </w:tcBorders>
          </w:tcPr>
          <w:p w:rsidR="00303476" w:rsidRDefault="00FA14CE">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749040" cy="495300"/>
                  <wp:effectExtent l="0" t="0" r="381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49040" cy="49530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где: Ссудная задолженность = ст.31 гр.11 (ф.115  Средства клиентов = ст.17 гр.2 (ф.113)  </w:t>
            </w:r>
            <w:r w:rsidR="00303476">
              <w:rPr>
                <w:rFonts w:ascii="Times New Roman CYR" w:hAnsi="Times New Roman CYR" w:cs="Times New Roman CYR"/>
                <w:b/>
                <w:bCs/>
                <w:i/>
                <w:iCs/>
                <w:color w:val="000000"/>
                <w:sz w:val="20"/>
                <w:szCs w:val="20"/>
              </w:rPr>
              <w:t xml:space="preserve">с 01.01.2010 </w:t>
            </w:r>
            <w:r w:rsidR="00303476">
              <w:rPr>
                <w:rFonts w:ascii="Times New Roman CYR" w:hAnsi="Times New Roman CYR" w:cs="Times New Roman CYR"/>
                <w:color w:val="000000"/>
                <w:sz w:val="20"/>
                <w:szCs w:val="20"/>
              </w:rPr>
              <w:t xml:space="preserve"> в части составляющей:  </w:t>
            </w:r>
            <w:r w:rsidR="00303476">
              <w:rPr>
                <w:rFonts w:ascii="Times New Roman CYR" w:hAnsi="Times New Roman CYR" w:cs="Times New Roman CYR"/>
                <w:b/>
                <w:bCs/>
                <w:color w:val="000000"/>
                <w:sz w:val="20"/>
                <w:szCs w:val="20"/>
              </w:rPr>
              <w:t xml:space="preserve">Ссудная задолженность </w:t>
            </w:r>
            <w:r w:rsidR="00303476">
              <w:rPr>
                <w:rFonts w:ascii="Times New Roman CYR" w:hAnsi="Times New Roman CYR" w:cs="Times New Roman CYR"/>
                <w:color w:val="000000"/>
                <w:sz w:val="20"/>
                <w:szCs w:val="20"/>
              </w:rPr>
              <w:t>(</w:t>
            </w:r>
            <w:r w:rsidR="00303476">
              <w:rPr>
                <w:rFonts w:ascii="Times New Roman CYR" w:hAnsi="Times New Roman CYR" w:cs="Times New Roman CYR"/>
                <w:b/>
                <w:bCs/>
                <w:color w:val="000000"/>
                <w:sz w:val="20"/>
                <w:szCs w:val="20"/>
              </w:rPr>
              <w:t>СЗ</w:t>
            </w:r>
            <w:r w:rsidR="00303476">
              <w:rPr>
                <w:rFonts w:ascii="Times New Roman CYR" w:hAnsi="Times New Roman CYR" w:cs="Times New Roman CYR"/>
                <w:color w:val="000000"/>
                <w:sz w:val="20"/>
                <w:szCs w:val="20"/>
              </w:rPr>
              <w:t xml:space="preserve">) = Раздел 1 гр.3 ст.4.1 + Раздел 2 гр.3 (ст.1+ст.2 + ст.4) + Раздел 3 гр.3 ст.1 (ф.115) </w:t>
            </w:r>
          </w:p>
        </w:tc>
      </w:tr>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 общей ликвидности (</w:t>
            </w:r>
            <w:r>
              <w:rPr>
                <w:rFonts w:ascii="Times New Roman CYR" w:hAnsi="Times New Roman CYR" w:cs="Times New Roman CYR"/>
                <w:b/>
                <w:bCs/>
                <w:color w:val="000000"/>
                <w:sz w:val="20"/>
                <w:szCs w:val="20"/>
              </w:rPr>
              <w:t>Н5</w:t>
            </w:r>
            <w:r>
              <w:rPr>
                <w:rFonts w:ascii="Times New Roman CYR" w:hAnsi="Times New Roman CYR" w:cs="Times New Roman CYR"/>
                <w:color w:val="000000"/>
                <w:sz w:val="20"/>
                <w:szCs w:val="20"/>
              </w:rPr>
              <w:t xml:space="preserve">)  (ПЛ8)*  Показатель усреднения обязательных резервов  (ПЛ8) </w:t>
            </w:r>
          </w:p>
        </w:tc>
        <w:tc>
          <w:tcPr>
            <w:tcW w:w="7365" w:type="dxa"/>
            <w:tcBorders>
              <w:top w:val="single" w:sz="6" w:space="0" w:color="auto"/>
              <w:left w:val="single" w:sz="6" w:space="0" w:color="auto"/>
              <w:bottom w:val="single" w:sz="6" w:space="0" w:color="auto"/>
              <w:right w:val="single" w:sz="6" w:space="0" w:color="auto"/>
            </w:tcBorders>
          </w:tcPr>
          <w:p w:rsidR="00303476" w:rsidRDefault="00FA14CE">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990600" cy="3429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0600" cy="34290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Где: А - общая сумма активов; РО - обязательные резервы кредитной организаций </w:t>
            </w:r>
            <w:r w:rsidR="00303476">
              <w:rPr>
                <w:rFonts w:ascii="Times New Roman CYR" w:hAnsi="Times New Roman CYR" w:cs="Times New Roman CYR"/>
                <w:i/>
                <w:iCs/>
                <w:color w:val="000000"/>
                <w:sz w:val="20"/>
                <w:szCs w:val="20"/>
              </w:rPr>
              <w:t xml:space="preserve">Для банков, представляющих отчет по ф.159 </w:t>
            </w:r>
            <w:r w:rsidR="00303476">
              <w:rPr>
                <w:rFonts w:ascii="Times New Roman CYR" w:hAnsi="Times New Roman CYR" w:cs="Times New Roman CYR"/>
                <w:color w:val="000000"/>
                <w:sz w:val="20"/>
                <w:szCs w:val="20"/>
              </w:rPr>
              <w:t xml:space="preserve"> </w:t>
            </w:r>
            <w:r>
              <w:rPr>
                <w:rFonts w:ascii="Microsoft Sans Serif" w:hAnsi="Microsoft Sans Serif" w:cs="Microsoft Sans Serif"/>
                <w:noProof/>
                <w:sz w:val="17"/>
                <w:szCs w:val="17"/>
              </w:rPr>
              <w:drawing>
                <wp:inline distT="0" distB="0" distL="0" distR="0">
                  <wp:extent cx="990600" cy="35052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0600" cy="35052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Где: А- общая сумма активов; </w:t>
            </w:r>
            <w:proofErr w:type="spellStart"/>
            <w:r w:rsidR="00303476">
              <w:rPr>
                <w:rFonts w:ascii="Times New Roman CYR" w:hAnsi="Times New Roman CYR" w:cs="Times New Roman CYR"/>
                <w:color w:val="000000"/>
                <w:sz w:val="20"/>
                <w:szCs w:val="20"/>
              </w:rPr>
              <w:t>Крипо</w:t>
            </w:r>
            <w:proofErr w:type="spellEnd"/>
            <w:r w:rsidR="00303476">
              <w:rPr>
                <w:rFonts w:ascii="Times New Roman CYR" w:hAnsi="Times New Roman CYR" w:cs="Times New Roman CYR"/>
                <w:color w:val="000000"/>
                <w:sz w:val="20"/>
                <w:szCs w:val="20"/>
              </w:rPr>
              <w:t>- совокупная сумма кредитов с ипотечным покрытием (8929) -</w:t>
            </w:r>
            <w:proofErr w:type="spellStart"/>
            <w:r w:rsidR="00303476">
              <w:rPr>
                <w:rFonts w:ascii="Times New Roman CYR" w:hAnsi="Times New Roman CYR" w:cs="Times New Roman CYR"/>
                <w:color w:val="000000"/>
                <w:sz w:val="20"/>
                <w:szCs w:val="20"/>
              </w:rPr>
              <w:t>Ро</w:t>
            </w:r>
            <w:proofErr w:type="spellEnd"/>
            <w:r w:rsidR="00303476">
              <w:rPr>
                <w:rFonts w:ascii="Times New Roman CYR" w:hAnsi="Times New Roman CYR" w:cs="Times New Roman CYR"/>
                <w:color w:val="000000"/>
                <w:sz w:val="20"/>
                <w:szCs w:val="20"/>
              </w:rPr>
              <w:t xml:space="preserve">- обязательные резервы кредитной организации)  </w:t>
            </w:r>
            <w:r w:rsidR="00303476">
              <w:rPr>
                <w:rFonts w:ascii="Times New Roman CYR" w:hAnsi="Times New Roman CYR" w:cs="Times New Roman CYR"/>
                <w:b/>
                <w:bCs/>
                <w:i/>
                <w:iCs/>
                <w:color w:val="000000"/>
                <w:sz w:val="20"/>
                <w:szCs w:val="20"/>
              </w:rPr>
              <w:t xml:space="preserve">с отчетности на 01.05.2005 </w:t>
            </w:r>
            <w:r w:rsidR="00303476">
              <w:rPr>
                <w:rFonts w:ascii="Times New Roman CYR" w:hAnsi="Times New Roman CYR" w:cs="Times New Roman CYR"/>
                <w:color w:val="000000"/>
                <w:sz w:val="20"/>
                <w:szCs w:val="20"/>
              </w:rPr>
              <w:t xml:space="preserve"> Отсутствие факта - балл 1  Наличие факта - балл 4. </w:t>
            </w:r>
          </w:p>
        </w:tc>
      </w:tr>
      <w:tr w:rsidR="00303476">
        <w:tc>
          <w:tcPr>
            <w:tcW w:w="2204"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Показатель риска на крупных кредиторов (вкладчиков)  (ПЛ10) </w:t>
            </w:r>
          </w:p>
        </w:tc>
        <w:tc>
          <w:tcPr>
            <w:tcW w:w="7365" w:type="dxa"/>
            <w:tcBorders>
              <w:top w:val="single" w:sz="6" w:space="0" w:color="auto"/>
              <w:left w:val="single" w:sz="6" w:space="0" w:color="auto"/>
              <w:bottom w:val="single" w:sz="6" w:space="0" w:color="auto"/>
              <w:right w:val="single" w:sz="6" w:space="0" w:color="auto"/>
            </w:tcBorders>
          </w:tcPr>
          <w:p w:rsidR="00303476" w:rsidRDefault="00FA14CE">
            <w:pPr>
              <w:widowControl w:val="0"/>
              <w:autoSpaceDE w:val="0"/>
              <w:autoSpaceDN w:val="0"/>
              <w:adjustRightInd w:val="0"/>
              <w:spacing w:after="0" w:line="276"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800100" cy="3429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где: </w:t>
            </w:r>
            <w:r>
              <w:rPr>
                <w:rFonts w:ascii="Microsoft Sans Serif" w:hAnsi="Microsoft Sans Serif" w:cs="Microsoft Sans Serif"/>
                <w:noProof/>
                <w:sz w:val="17"/>
                <w:szCs w:val="17"/>
              </w:rPr>
              <w:drawing>
                <wp:inline distT="0" distB="0" distL="0" distR="0">
                  <wp:extent cx="769620" cy="3048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9620" cy="304800"/>
                          </a:xfrm>
                          <a:prstGeom prst="rect">
                            <a:avLst/>
                          </a:prstGeom>
                          <a:noFill/>
                          <a:ln>
                            <a:noFill/>
                          </a:ln>
                        </pic:spPr>
                      </pic:pic>
                    </a:graphicData>
                  </a:graphic>
                </wp:inline>
              </w:drawing>
            </w:r>
            <w:r w:rsidR="00303476">
              <w:rPr>
                <w:rFonts w:ascii="Times New Roman CYR" w:hAnsi="Times New Roman CYR" w:cs="Times New Roman CYR"/>
                <w:color w:val="000000"/>
                <w:sz w:val="20"/>
                <w:szCs w:val="20"/>
              </w:rPr>
              <w:t xml:space="preserve"> </w:t>
            </w:r>
            <w:proofErr w:type="spellStart"/>
            <w:r w:rsidR="00303476">
              <w:rPr>
                <w:rFonts w:ascii="Times New Roman CYR" w:hAnsi="Times New Roman CYR" w:cs="Times New Roman CYR"/>
                <w:color w:val="000000"/>
                <w:sz w:val="20"/>
                <w:szCs w:val="20"/>
              </w:rPr>
              <w:t>Овкл</w:t>
            </w:r>
            <w:proofErr w:type="spellEnd"/>
            <w:r w:rsidR="00303476">
              <w:rPr>
                <w:rFonts w:ascii="Times New Roman CYR" w:hAnsi="Times New Roman CYR" w:cs="Times New Roman CYR"/>
                <w:color w:val="000000"/>
                <w:sz w:val="20"/>
                <w:szCs w:val="20"/>
              </w:rPr>
              <w:t>-совокупная сумма обязательств банка перед одним или группой связанных кредиторов (вкладчиков); К- собственный капитал (если соотношение &gt; 25%, т.е. включаются нарушители Н8)</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2</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 структура собственных средств (капитала)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tbl>
      <w:tblPr>
        <w:tblW w:w="0" w:type="auto"/>
        <w:jc w:val="right"/>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23"/>
        <w:gridCol w:w="929"/>
        <w:gridCol w:w="766"/>
        <w:gridCol w:w="929"/>
        <w:gridCol w:w="766"/>
        <w:gridCol w:w="929"/>
        <w:gridCol w:w="766"/>
        <w:gridCol w:w="930"/>
        <w:gridCol w:w="701"/>
        <w:gridCol w:w="930"/>
        <w:gridCol w:w="701"/>
        <w:gridCol w:w="1016"/>
        <w:gridCol w:w="1016"/>
      </w:tblGrid>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5085" w:type="dxa"/>
            <w:gridSpan w:val="6"/>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262" w:type="dxa"/>
            <w:gridSpan w:val="4"/>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695"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695"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695"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63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 xml:space="preserve"> 2009</w:t>
            </w:r>
          </w:p>
        </w:tc>
        <w:tc>
          <w:tcPr>
            <w:tcW w:w="163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u w:val="single"/>
              </w:rPr>
            </w:pP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u w:val="single"/>
              </w:rPr>
            </w:pP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2503633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27,93</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2503633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27,93</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2503633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26,55</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-0,67</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выкупленные акции</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(11340)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-0,13</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(11340)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-0,13</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(11340)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-0,12</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Фонд переоценки зданий</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3371148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32,72</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2933378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32,72</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3177785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33,70</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-437770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-5,78</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+244407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-12,98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+8,33</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Фонд переоценки инвестиционных ценных бумаг, доступных для продажи</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0,20</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18237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0,20</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24067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0,26</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+18237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+0,20</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+5830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+31,97</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2891718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39,28</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3521115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39,28</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3735620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39,61</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+629397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+6,25</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+214505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+21,76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+6,09</w:t>
            </w:r>
          </w:p>
        </w:tc>
      </w:tr>
      <w:tr w:rsidR="00303476">
        <w:trPr>
          <w:jc w:val="right"/>
        </w:trPr>
        <w:tc>
          <w:tcPr>
            <w:tcW w:w="41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8755159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8965023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9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9429765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+209864</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Х</w:t>
            </w:r>
          </w:p>
        </w:tc>
        <w:tc>
          <w:tcPr>
            <w:tcW w:w="9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+464742</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+2,40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+5,18</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3</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 структура привлеченных средств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tbl>
      <w:tblPr>
        <w:tblW w:w="0" w:type="auto"/>
        <w:jc w:val="right"/>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27"/>
        <w:gridCol w:w="1176"/>
        <w:gridCol w:w="923"/>
        <w:gridCol w:w="1243"/>
        <w:gridCol w:w="898"/>
        <w:gridCol w:w="1302"/>
        <w:gridCol w:w="938"/>
        <w:gridCol w:w="1316"/>
        <w:gridCol w:w="812"/>
        <w:gridCol w:w="1343"/>
        <w:gridCol w:w="888"/>
        <w:gridCol w:w="1061"/>
        <w:gridCol w:w="986"/>
      </w:tblGrid>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6480" w:type="dxa"/>
            <w:gridSpan w:val="6"/>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4359" w:type="dxa"/>
            <w:gridSpan w:val="4"/>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47"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2099"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14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240"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128"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 xml:space="preserve"> 2009</w:t>
            </w:r>
          </w:p>
        </w:tc>
        <w:tc>
          <w:tcPr>
            <w:tcW w:w="223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2011 </w:t>
            </w:r>
            <w:r>
              <w:rPr>
                <w:rFonts w:ascii="Times New Roman CYR" w:hAnsi="Times New Roman CYR" w:cs="Times New Roman CYR"/>
                <w:sz w:val="20"/>
                <w:szCs w:val="20"/>
              </w:rPr>
              <w:t>2010</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депозиты и прочие средства ЦБ РФ</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2894794</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4,68</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5507063</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6,70</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+2612269</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+2,02</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-5507063</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-6,70</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+90,24</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Средства кредитных организаций</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1854993</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3,00</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2610640</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3,18</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2483550</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2,37</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+755647</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+0,18</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-127090</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-0,81</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+40,74</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-4,87</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Средства клиентов</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52577202</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85,01</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71751292</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87,34</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97574848</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93,28</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+19174090</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+2,33</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+25823556</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+5,94</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+36,47</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+35,99</w:t>
            </w:r>
          </w:p>
        </w:tc>
      </w:tr>
      <w:tr w:rsidR="00303476">
        <w:trPr>
          <w:jc w:val="right"/>
        </w:trPr>
        <w:tc>
          <w:tcPr>
            <w:tcW w:w="2027"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7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923"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243"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898"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302"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938"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3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812"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343"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888"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061"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98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r>
      <w:tr w:rsidR="00303476">
        <w:trPr>
          <w:jc w:val="right"/>
        </w:trPr>
        <w:tc>
          <w:tcPr>
            <w:tcW w:w="2027"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частные компании</w:t>
            </w:r>
          </w:p>
        </w:tc>
        <w:tc>
          <w:tcPr>
            <w:tcW w:w="117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24818821</w:t>
            </w:r>
          </w:p>
        </w:tc>
        <w:tc>
          <w:tcPr>
            <w:tcW w:w="923"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40,13</w:t>
            </w:r>
          </w:p>
        </w:tc>
        <w:tc>
          <w:tcPr>
            <w:tcW w:w="1243"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31870605</w:t>
            </w:r>
          </w:p>
        </w:tc>
        <w:tc>
          <w:tcPr>
            <w:tcW w:w="898"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38,80</w:t>
            </w:r>
          </w:p>
        </w:tc>
        <w:tc>
          <w:tcPr>
            <w:tcW w:w="1302"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36425695</w:t>
            </w:r>
          </w:p>
        </w:tc>
        <w:tc>
          <w:tcPr>
            <w:tcW w:w="938"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34,82</w:t>
            </w:r>
          </w:p>
        </w:tc>
        <w:tc>
          <w:tcPr>
            <w:tcW w:w="13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+7051784</w:t>
            </w:r>
          </w:p>
        </w:tc>
        <w:tc>
          <w:tcPr>
            <w:tcW w:w="812"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-1,33</w:t>
            </w:r>
          </w:p>
        </w:tc>
        <w:tc>
          <w:tcPr>
            <w:tcW w:w="1343"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+4555090</w:t>
            </w:r>
          </w:p>
        </w:tc>
        <w:tc>
          <w:tcPr>
            <w:tcW w:w="888"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-3,98</w:t>
            </w:r>
          </w:p>
        </w:tc>
        <w:tc>
          <w:tcPr>
            <w:tcW w:w="1061"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+28,41</w:t>
            </w:r>
          </w:p>
        </w:tc>
        <w:tc>
          <w:tcPr>
            <w:tcW w:w="98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+14,29</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физические лица</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24027595</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38,85</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36164526</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44,02</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56877041</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54,37</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+12136931</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+5,17</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+20712515</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+10,35</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+50,51</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+57,27</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гос. </w:t>
            </w:r>
            <w:proofErr w:type="spellStart"/>
            <w:r>
              <w:rPr>
                <w:rFonts w:ascii="Times New Roman CYR" w:hAnsi="Times New Roman CYR" w:cs="Times New Roman CYR"/>
                <w:sz w:val="20"/>
                <w:szCs w:val="20"/>
              </w:rPr>
              <w:t>ибюдж</w:t>
            </w:r>
            <w:proofErr w:type="spellEnd"/>
            <w:r>
              <w:rPr>
                <w:rFonts w:ascii="Times New Roman CYR" w:hAnsi="Times New Roman CYR" w:cs="Times New Roman CYR"/>
                <w:sz w:val="20"/>
                <w:szCs w:val="20"/>
              </w:rPr>
              <w:t>. организации</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3730786</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6,03</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3716160</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4,52</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4272112</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4,09</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-14626</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+555952</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+14,96</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по возврату ценных бумаг</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227548</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0,37</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-227548</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-0,37</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по договорам РЕПО</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1992114</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3,22</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200000</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0,24</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2530732</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2,42</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-1792114</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-2,98</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+2330732</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-89,96</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+1165,37</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Выпущенные долговые ценные бумаги</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1060349</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1,71</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1066380</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1,30</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954272</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0,91</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+6031</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-12108</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-10,51</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Текущ.обяз-ва</w:t>
            </w:r>
            <w:proofErr w:type="spellEnd"/>
            <w:r>
              <w:rPr>
                <w:rFonts w:ascii="Times New Roman CYR" w:hAnsi="Times New Roman CYR" w:cs="Times New Roman CYR"/>
                <w:sz w:val="20"/>
                <w:szCs w:val="20"/>
              </w:rPr>
              <w:t xml:space="preserve"> по налогу на прибыль</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18035</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0,02</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54992</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0,05</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+18035</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+36957</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+204,95</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Отлож.обяз-ва</w:t>
            </w:r>
            <w:proofErr w:type="spellEnd"/>
            <w:r>
              <w:rPr>
                <w:rFonts w:ascii="Times New Roman CYR" w:hAnsi="Times New Roman CYR" w:cs="Times New Roman CYR"/>
                <w:sz w:val="20"/>
                <w:szCs w:val="20"/>
              </w:rPr>
              <w:t xml:space="preserve"> по налогу на прибыль</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892935</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1,44</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665009</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0,81</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552042</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0,53</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-227926</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-112967</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-25,53</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-16,99</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Прочие обязательства</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345152</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0,57</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337315</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0,41</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455775</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0,44</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-7837</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+118460</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+35,12</w:t>
            </w:r>
          </w:p>
        </w:tc>
      </w:tr>
      <w:tr w:rsidR="00303476">
        <w:trPr>
          <w:jc w:val="right"/>
        </w:trPr>
        <w:tc>
          <w:tcPr>
            <w:tcW w:w="2027"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117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61845087</w:t>
            </w:r>
          </w:p>
        </w:tc>
        <w:tc>
          <w:tcPr>
            <w:tcW w:w="92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12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82155734</w:t>
            </w:r>
          </w:p>
        </w:tc>
        <w:tc>
          <w:tcPr>
            <w:tcW w:w="89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130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104606211</w:t>
            </w:r>
          </w:p>
        </w:tc>
        <w:tc>
          <w:tcPr>
            <w:tcW w:w="93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13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+20310647</w:t>
            </w:r>
          </w:p>
        </w:tc>
        <w:tc>
          <w:tcPr>
            <w:tcW w:w="81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Х</w:t>
            </w:r>
          </w:p>
        </w:tc>
        <w:tc>
          <w:tcPr>
            <w:tcW w:w="1343"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+22450477</w:t>
            </w:r>
          </w:p>
        </w:tc>
        <w:tc>
          <w:tcPr>
            <w:tcW w:w="888"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Х</w:t>
            </w:r>
          </w:p>
        </w:tc>
        <w:tc>
          <w:tcPr>
            <w:tcW w:w="106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+32,84</w:t>
            </w:r>
          </w:p>
        </w:tc>
        <w:tc>
          <w:tcPr>
            <w:tcW w:w="98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+27,33</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4</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 структура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(2009-2011 гг.)</w:t>
      </w:r>
    </w:p>
    <w:tbl>
      <w:tblPr>
        <w:tblW w:w="0" w:type="auto"/>
        <w:jc w:val="right"/>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2"/>
        <w:gridCol w:w="1016"/>
        <w:gridCol w:w="766"/>
        <w:gridCol w:w="1016"/>
        <w:gridCol w:w="766"/>
        <w:gridCol w:w="1116"/>
        <w:gridCol w:w="766"/>
        <w:gridCol w:w="1130"/>
        <w:gridCol w:w="701"/>
        <w:gridCol w:w="1130"/>
        <w:gridCol w:w="701"/>
        <w:gridCol w:w="1016"/>
        <w:gridCol w:w="1016"/>
      </w:tblGrid>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5446" w:type="dxa"/>
            <w:gridSpan w:val="6"/>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662" w:type="dxa"/>
            <w:gridSpan w:val="4"/>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78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78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8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83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183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2011 </w:t>
            </w:r>
            <w:r>
              <w:rPr>
                <w:rFonts w:ascii="Times New Roman CYR" w:hAnsi="Times New Roman CYR" w:cs="Times New Roman CYR"/>
                <w:sz w:val="20"/>
                <w:szCs w:val="20"/>
              </w:rPr>
              <w:t>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их эквиваленты</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10581239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14,99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10425286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11,44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13301126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11,66</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-155953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-3,55</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+2875840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+27,58</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Торговые ценные бумаги</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4479616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6,35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6676176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7,33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7899623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6,93</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+2196560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+0,98</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+1223447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+49,03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+18,33</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Средства в кредитных организациях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202872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1938550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2,13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1236332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1,09</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+1735678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+1,84</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-702218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+855,55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-36,22</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по договорам обратного РЕПО</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376410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0,53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902746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0,99</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+526336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+0,46</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-902746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+139,83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клиентам</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43322424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61,36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59554959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65,36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74127761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65,01</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+16232535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+4,00</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+14572802</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+37,47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+24,47</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Инвестиционные ценные бумаги</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1390620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1,97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3223035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3,54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3219872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2,82</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+1832415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+1,57</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-3163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+131,77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303476">
        <w:trPr>
          <w:jc w:val="right"/>
        </w:trPr>
        <w:tc>
          <w:tcPr>
            <w:tcW w:w="3362"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76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76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1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76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130"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701"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130"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701"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nil"/>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r>
      <w:tr w:rsidR="00303476">
        <w:trPr>
          <w:jc w:val="right"/>
        </w:trPr>
        <w:tc>
          <w:tcPr>
            <w:tcW w:w="3362"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доступные для продажи</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23270</w:t>
            </w:r>
          </w:p>
        </w:tc>
        <w:tc>
          <w:tcPr>
            <w:tcW w:w="76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0,03</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1820077</w:t>
            </w:r>
          </w:p>
        </w:tc>
        <w:tc>
          <w:tcPr>
            <w:tcW w:w="76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2,00</w:t>
            </w:r>
          </w:p>
        </w:tc>
        <w:tc>
          <w:tcPr>
            <w:tcW w:w="11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1722027</w:t>
            </w:r>
          </w:p>
        </w:tc>
        <w:tc>
          <w:tcPr>
            <w:tcW w:w="76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1,51</w:t>
            </w:r>
          </w:p>
        </w:tc>
        <w:tc>
          <w:tcPr>
            <w:tcW w:w="1130"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+1796807</w:t>
            </w:r>
          </w:p>
        </w:tc>
        <w:tc>
          <w:tcPr>
            <w:tcW w:w="701"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+1,97</w:t>
            </w:r>
          </w:p>
        </w:tc>
        <w:tc>
          <w:tcPr>
            <w:tcW w:w="1130"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-98050</w:t>
            </w:r>
          </w:p>
        </w:tc>
        <w:tc>
          <w:tcPr>
            <w:tcW w:w="701"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-0,49</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+7721,56</w:t>
            </w:r>
          </w:p>
        </w:tc>
        <w:tc>
          <w:tcPr>
            <w:tcW w:w="1016" w:type="dxa"/>
            <w:tcBorders>
              <w:top w:val="nil"/>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-5,39</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удерживаемые до погашения</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1367350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1,94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1402958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1,54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1497845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1,31</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+35608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+94887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-0,23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+6,76</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Ценные бумаги, заложенные по договорам РЕПО</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2035687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2,88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211309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2992868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2,62</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-1824378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+2781559</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-89,62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+1316,35</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Текущие активы по налогу на прибыль</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75607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-75607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7910352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11,20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7814199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8,57</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8783794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7,70</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-96153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-2,63</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+969595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+12,41</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Прочие активы</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225419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374497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2474600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2,17</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+149078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+2100103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+66,13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+560,78</w:t>
            </w:r>
          </w:p>
        </w:tc>
      </w:tr>
      <w:tr w:rsidR="00303476">
        <w:trPr>
          <w:jc w:val="right"/>
        </w:trPr>
        <w:tc>
          <w:tcPr>
            <w:tcW w:w="3362"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70600246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91120757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114035976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100,00</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+20520511</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Х</w:t>
            </w:r>
          </w:p>
        </w:tc>
        <w:tc>
          <w:tcPr>
            <w:tcW w:w="113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+22915219</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+29,07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b/>
                <w:bCs/>
                <w:sz w:val="20"/>
                <w:szCs w:val="20"/>
              </w:rPr>
            </w:pPr>
            <w:r>
              <w:rPr>
                <w:rFonts w:ascii="Times New Roman CYR" w:hAnsi="Times New Roman CYR" w:cs="Times New Roman CYR"/>
                <w:b/>
                <w:bCs/>
                <w:sz w:val="20"/>
                <w:szCs w:val="20"/>
              </w:rPr>
              <w:t>+25,15</w:t>
            </w:r>
          </w:p>
        </w:tc>
      </w:tr>
    </w:tbl>
    <w:p w:rsidR="00303476" w:rsidRDefault="00303476">
      <w:pPr>
        <w:widowControl w:val="0"/>
        <w:autoSpaceDE w:val="0"/>
        <w:autoSpaceDN w:val="0"/>
        <w:adjustRightInd w:val="0"/>
        <w:spacing w:after="20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5</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 структура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по степени их доходности (2009-2011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96"/>
        <w:gridCol w:w="1050"/>
        <w:gridCol w:w="766"/>
        <w:gridCol w:w="1050"/>
        <w:gridCol w:w="766"/>
        <w:gridCol w:w="1116"/>
        <w:gridCol w:w="766"/>
        <w:gridCol w:w="1129"/>
        <w:gridCol w:w="701"/>
        <w:gridCol w:w="1129"/>
        <w:gridCol w:w="701"/>
        <w:gridCol w:w="1016"/>
        <w:gridCol w:w="1016"/>
      </w:tblGrid>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5514" w:type="dxa"/>
            <w:gridSpan w:val="6"/>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660" w:type="dxa"/>
            <w:gridSpan w:val="4"/>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203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816"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816"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82"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830"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 xml:space="preserve"> 2009</w:t>
            </w:r>
          </w:p>
        </w:tc>
        <w:tc>
          <w:tcPr>
            <w:tcW w:w="1830"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2009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2010</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 Активы, не приносящие доход</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9541040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13,52</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9166565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13235746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11,61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-374475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-3,45</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+4069181</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+1,55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-3,92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+44,39</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драгоценные металлы</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10581239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14,99</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10425286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11,44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13301126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11,66</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-155953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-3,55</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+2875840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-1,47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+27,58</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Расчеты с дебиторами</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376410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0,53</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902746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0,99</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+526336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+0,46</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-902746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+139,83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Текущие активы по налогу на прибыль</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75607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0,11</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-75607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Резерв на обесценение</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(1717635)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-2,43</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(2535964)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-2,78</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(2539980)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-2,22</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+818329</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+0,35</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-4016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+0,56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+47,64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+0,16</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Прочие активы</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225419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0,32</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374497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2474600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2,17</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+149078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+0,09</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+2100103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+1,76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+66,13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+560,78</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 Активы, приносящие доход</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53076257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75,18</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73669619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80,85</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91328904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80,09</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+20593362</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+5,67</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+17659285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+38,80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+23,97</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государственным компаниям</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681777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0,97</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988894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1,09</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1009158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0,88</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+307117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+20264</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+45,05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+2,05</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частным компаниям</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41499290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58,78</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58078904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63,74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72830201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63,87</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+16579614</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+4,96</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+14751297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+39,95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+25,40</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местным органам власти</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822821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1,17</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691500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7676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-131321</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-683824</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-0,75</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-15,96</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-98,89</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физическим лицам</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2036153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2,88</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2331625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2,56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2820706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2,47</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+295472</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+489081</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+14,51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+20,98</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Облигации Федерального займа</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3900880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5,53</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5716231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6,27</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7843747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6,88</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+1815351</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+2127516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+0,61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+46,54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+37,22</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Корпоративные облигации</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536975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0,76</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295356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0,32</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45324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0,04</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-241619</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-0,44</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-250032</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-45,00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-84,65</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Корпоративные акции</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41761</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0,06</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8876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10552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-32885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+1676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-78,74</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+18,88</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Муниципальные облигации</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655713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0,72</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+655713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-655713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Инвестиционные ценные бумаги</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1390620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1,97</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3223035</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3,54</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3219872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2,82</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+1832415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-3163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+131,77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-0,10</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Ценные бумаги, заложенные по договорам РЕПО</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2035687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2,88</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211309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0,23</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2992868</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2,63</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-1824378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+2781559</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+2,40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-89,62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+1316,35</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Срочные депозиты на срок до 90 дней</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130293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0,18</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1468176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1,61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548800</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0,48</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+1337883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-919376</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+1026,83</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-62,62</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 Иммобилизованные активы</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7982949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11,30</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8284573</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9,09</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9471326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8,30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+301624</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+1186753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-0,79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+3,78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+14,32</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Обязательные резервы в ЦБ РФ</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72597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0,10</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470374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0,51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687532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0,60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+397777</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+217158</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+547,92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+46,17</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7910352</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11,20</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7814199</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8,58</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8783794</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7,70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-96153</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-2,63</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+969595</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-0,88</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-1,22</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+12,41</w:t>
            </w:r>
          </w:p>
        </w:tc>
      </w:tr>
      <w:tr w:rsidR="00303476">
        <w:tc>
          <w:tcPr>
            <w:tcW w:w="329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70600246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c>
          <w:tcPr>
            <w:tcW w:w="105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91120757</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114035976</w:t>
            </w:r>
          </w:p>
        </w:tc>
        <w:tc>
          <w:tcPr>
            <w:tcW w:w="76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+20520511</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+22915219</w:t>
            </w:r>
          </w:p>
        </w:tc>
        <w:tc>
          <w:tcPr>
            <w:tcW w:w="701"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+29,07</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+25,15</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6</w:t>
      </w: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динамки и структуры активов ОАО «</w:t>
      </w:r>
      <w:proofErr w:type="spellStart"/>
      <w:r>
        <w:rPr>
          <w:rFonts w:ascii="Times New Roman CYR" w:hAnsi="Times New Roman CYR" w:cs="Times New Roman CYR"/>
          <w:sz w:val="28"/>
          <w:szCs w:val="28"/>
        </w:rPr>
        <w:t>МИнБ</w:t>
      </w:r>
      <w:proofErr w:type="spellEnd"/>
      <w:r>
        <w:rPr>
          <w:rFonts w:ascii="Times New Roman CYR" w:hAnsi="Times New Roman CYR" w:cs="Times New Roman CYR"/>
          <w:sz w:val="28"/>
          <w:szCs w:val="28"/>
        </w:rPr>
        <w:t>» по степени их ликвидности (2009-2011 гг.)</w:t>
      </w:r>
    </w:p>
    <w:tbl>
      <w:tblPr>
        <w:tblW w:w="0" w:type="auto"/>
        <w:jc w:val="right"/>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20"/>
        <w:gridCol w:w="1016"/>
        <w:gridCol w:w="875"/>
        <w:gridCol w:w="1016"/>
        <w:gridCol w:w="875"/>
        <w:gridCol w:w="1116"/>
        <w:gridCol w:w="875"/>
        <w:gridCol w:w="1129"/>
        <w:gridCol w:w="825"/>
        <w:gridCol w:w="1129"/>
        <w:gridCol w:w="875"/>
        <w:gridCol w:w="916"/>
        <w:gridCol w:w="835"/>
      </w:tblGrid>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5773" w:type="dxa"/>
            <w:gridSpan w:val="6"/>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958" w:type="dxa"/>
            <w:gridSpan w:val="4"/>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175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89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89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991"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954"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2010 </w:t>
            </w:r>
            <w:r>
              <w:rPr>
                <w:rFonts w:ascii="Times New Roman CYR" w:hAnsi="Times New Roman CYR" w:cs="Times New Roman CYR"/>
                <w:sz w:val="20"/>
                <w:szCs w:val="20"/>
              </w:rPr>
              <w:t>2009</w:t>
            </w:r>
          </w:p>
        </w:tc>
        <w:tc>
          <w:tcPr>
            <w:tcW w:w="2004" w:type="dxa"/>
            <w:gridSpan w:val="2"/>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2011 </w:t>
            </w:r>
            <w:r>
              <w:rPr>
                <w:rFonts w:ascii="Times New Roman CYR" w:hAnsi="Times New Roman CYR" w:cs="Times New Roman CYR"/>
                <w:sz w:val="20"/>
                <w:szCs w:val="20"/>
              </w:rPr>
              <w:t>2010</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2010</w:t>
            </w:r>
            <w:r>
              <w:rPr>
                <w:rFonts w:ascii="Times New Roman CYR" w:hAnsi="Times New Roman CYR" w:cs="Times New Roman CYR"/>
                <w:sz w:val="20"/>
                <w:szCs w:val="20"/>
              </w:rPr>
              <w:t xml:space="preserve"> 2009</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u w:val="single"/>
              </w:rPr>
              <w:t>2011</w:t>
            </w:r>
            <w:r>
              <w:rPr>
                <w:rFonts w:ascii="Times New Roman CYR" w:hAnsi="Times New Roman CYR" w:cs="Times New Roman CYR"/>
                <w:sz w:val="20"/>
                <w:szCs w:val="20"/>
              </w:rPr>
              <w:t xml:space="preserve"> 2010</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 </w:t>
            </w:r>
            <w:proofErr w:type="spellStart"/>
            <w:r>
              <w:rPr>
                <w:rFonts w:ascii="Times New Roman CYR" w:hAnsi="Times New Roman CYR" w:cs="Times New Roman CYR"/>
                <w:sz w:val="20"/>
                <w:szCs w:val="20"/>
              </w:rPr>
              <w:t>сов.ак</w:t>
            </w:r>
            <w:proofErr w:type="spellEnd"/>
            <w:r>
              <w:rPr>
                <w:rFonts w:ascii="Times New Roman CYR" w:hAnsi="Times New Roman CYR" w:cs="Times New Roman CY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 </w:t>
            </w:r>
            <w:proofErr w:type="spellStart"/>
            <w:r>
              <w:rPr>
                <w:rFonts w:ascii="Times New Roman CYR" w:hAnsi="Times New Roman CYR" w:cs="Times New Roman CYR"/>
                <w:sz w:val="20"/>
                <w:szCs w:val="20"/>
              </w:rPr>
              <w:t>сов.ак</w:t>
            </w:r>
            <w:proofErr w:type="spellEnd"/>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 </w:t>
            </w:r>
            <w:proofErr w:type="spellStart"/>
            <w:r>
              <w:rPr>
                <w:rFonts w:ascii="Times New Roman CYR" w:hAnsi="Times New Roman CYR" w:cs="Times New Roman CYR"/>
                <w:sz w:val="20"/>
                <w:szCs w:val="20"/>
              </w:rPr>
              <w:t>сов.ак</w:t>
            </w:r>
            <w:proofErr w:type="spellEnd"/>
            <w:r>
              <w:rPr>
                <w:rFonts w:ascii="Times New Roman CYR" w:hAnsi="Times New Roman CYR" w:cs="Times New Roman CY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 </w:t>
            </w:r>
            <w:proofErr w:type="spellStart"/>
            <w:r>
              <w:rPr>
                <w:rFonts w:ascii="Times New Roman CYR" w:hAnsi="Times New Roman CYR" w:cs="Times New Roman CYR"/>
                <w:sz w:val="20"/>
                <w:szCs w:val="20"/>
              </w:rPr>
              <w:t>сов.ак</w:t>
            </w:r>
            <w:proofErr w:type="spellEnd"/>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 </w:t>
            </w:r>
            <w:proofErr w:type="spellStart"/>
            <w:r>
              <w:rPr>
                <w:rFonts w:ascii="Times New Roman CYR" w:hAnsi="Times New Roman CYR" w:cs="Times New Roman CYR"/>
                <w:sz w:val="20"/>
                <w:szCs w:val="20"/>
              </w:rPr>
              <w:t>сов.ак</w:t>
            </w:r>
            <w:proofErr w:type="spellEnd"/>
            <w:r>
              <w:rPr>
                <w:rFonts w:ascii="Times New Roman CYR" w:hAnsi="Times New Roman CYR" w:cs="Times New Roman CYR"/>
                <w:sz w:val="20"/>
                <w:szCs w:val="20"/>
              </w:rPr>
              <w:t>.</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Высоколиквидные активы</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10653876</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15,09</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10895660</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11,96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13988658</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12,27</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+241784</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-3,13</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+3092998</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+0,31</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+28,39</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Ликвидные активы</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24926249</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35,31</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33171831</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36,40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47264741</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41,44</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+8245582</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+1,09</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+14092910</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+5,04</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+33,08</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+42,48</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Всего ликвидных активов</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35580125</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50,40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44067491</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48,36</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61253399</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53,71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+8487366</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-2,04</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+17185908</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+5,35</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+23,85</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+39,00</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до востребования</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25402785</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31310470</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40439897</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5907685</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9129427</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+23,26</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+29,16</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до востребования и на срок до 30 дней</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27741058</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41405573</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51444879</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13664515</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10039306</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+49,26</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+24,25</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Обязательства по кредитам, депозитам и ценным бумагам, полученным на срок свыше 1 г.</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8701244</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9439691</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12721435</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738447</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2381744</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+8,49</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+34,76</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Всего обязательств</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61845087</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82155734</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104606211</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+20310647</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+22450477</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Х</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+32,84</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+27,33</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Капитал</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8755159</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8965023</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9429765</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+209864</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+464742</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Х</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+5,18</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Обязательные резервы банка в ЦБ РФ</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72597</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0,10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470374</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0,51</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687532</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0,60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+397777</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+0,41</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+217158</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+0,09</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+547,92</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+46,17</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Кредиты выданные и депозиты, размещенные сроком свыше 1 года</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7640895</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8373311</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11767163</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+732416</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+3393852</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+9,58</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+40,53</w:t>
            </w:r>
          </w:p>
        </w:tc>
      </w:tr>
      <w:tr w:rsidR="00303476">
        <w:trPr>
          <w:jc w:val="right"/>
        </w:trPr>
        <w:tc>
          <w:tcPr>
            <w:tcW w:w="3020"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Совокупные активы</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70600246</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c>
          <w:tcPr>
            <w:tcW w:w="10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91120757</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c>
          <w:tcPr>
            <w:tcW w:w="11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114035976</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i/>
                <w:iCs/>
                <w:sz w:val="20"/>
                <w:szCs w:val="20"/>
              </w:rPr>
            </w:pPr>
            <w:r>
              <w:rPr>
                <w:rFonts w:ascii="Times New Roman CYR" w:hAnsi="Times New Roman CYR" w:cs="Times New Roman CYR"/>
                <w:i/>
                <w:iCs/>
                <w:sz w:val="20"/>
                <w:szCs w:val="20"/>
              </w:rPr>
              <w:t>100,00</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+20520511</w:t>
            </w:r>
          </w:p>
        </w:tc>
        <w:tc>
          <w:tcPr>
            <w:tcW w:w="82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29"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+22915219</w:t>
            </w:r>
          </w:p>
        </w:tc>
        <w:tc>
          <w:tcPr>
            <w:tcW w:w="87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16"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+29,07</w:t>
            </w:r>
          </w:p>
        </w:tc>
        <w:tc>
          <w:tcPr>
            <w:tcW w:w="835" w:type="dxa"/>
            <w:tcBorders>
              <w:top w:val="single" w:sz="6" w:space="0" w:color="auto"/>
              <w:left w:val="single" w:sz="6" w:space="0" w:color="auto"/>
              <w:bottom w:val="single" w:sz="6" w:space="0" w:color="auto"/>
              <w:right w:val="single" w:sz="6" w:space="0" w:color="auto"/>
            </w:tcBorders>
          </w:tcPr>
          <w:p w:rsidR="00303476" w:rsidRDefault="00303476">
            <w:pPr>
              <w:widowControl w:val="0"/>
              <w:autoSpaceDE w:val="0"/>
              <w:autoSpaceDN w:val="0"/>
              <w:adjustRightInd w:val="0"/>
              <w:spacing w:after="0" w:line="276" w:lineRule="auto"/>
              <w:rPr>
                <w:rFonts w:ascii="Times New Roman CYR" w:hAnsi="Times New Roman CYR" w:cs="Times New Roman CYR"/>
                <w:sz w:val="20"/>
                <w:szCs w:val="20"/>
              </w:rPr>
            </w:pPr>
            <w:r>
              <w:rPr>
                <w:rFonts w:ascii="Times New Roman CYR" w:hAnsi="Times New Roman CYR" w:cs="Times New Roman CYR"/>
                <w:sz w:val="20"/>
                <w:szCs w:val="20"/>
              </w:rPr>
              <w:t>+25,15</w:t>
            </w:r>
          </w:p>
        </w:tc>
      </w:tr>
    </w:tbl>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30347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7</w:t>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43300" cy="3764280"/>
            <wp:effectExtent l="0" t="0" r="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43300" cy="376428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51860" cy="39471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51860" cy="394716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017520" cy="34366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7520" cy="343662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108960" cy="49530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08960" cy="495300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51760" cy="42138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51760" cy="4213860"/>
                    </a:xfrm>
                    <a:prstGeom prst="rect">
                      <a:avLst/>
                    </a:prstGeom>
                    <a:noFill/>
                    <a:ln>
                      <a:noFill/>
                    </a:ln>
                  </pic:spPr>
                </pic:pic>
              </a:graphicData>
            </a:graphic>
          </wp:inline>
        </w:drawing>
      </w:r>
    </w:p>
    <w:p w:rsidR="00303476" w:rsidRDefault="003034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03476" w:rsidRDefault="00FA1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575560" cy="412242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75560" cy="4122420"/>
                    </a:xfrm>
                    <a:prstGeom prst="rect">
                      <a:avLst/>
                    </a:prstGeom>
                    <a:noFill/>
                    <a:ln>
                      <a:noFill/>
                    </a:ln>
                  </pic:spPr>
                </pic:pic>
              </a:graphicData>
            </a:graphic>
          </wp:inline>
        </w:drawing>
      </w:r>
    </w:p>
    <w:tbl>
      <w:tblPr>
        <w:tblStyle w:val="a8"/>
        <w:tblW w:w="0" w:type="auto"/>
        <w:jc w:val="center"/>
        <w:tblInd w:w="0" w:type="dxa"/>
        <w:tblLook w:val="04A0" w:firstRow="1" w:lastRow="0" w:firstColumn="1" w:lastColumn="0" w:noHBand="0" w:noVBand="1"/>
      </w:tblPr>
      <w:tblGrid>
        <w:gridCol w:w="8472"/>
      </w:tblGrid>
      <w:tr w:rsidR="00845ED9" w:rsidTr="00845ED9">
        <w:trPr>
          <w:jc w:val="center"/>
        </w:trPr>
        <w:tc>
          <w:tcPr>
            <w:tcW w:w="8472" w:type="dxa"/>
            <w:tcBorders>
              <w:top w:val="single" w:sz="4" w:space="0" w:color="auto"/>
              <w:left w:val="single" w:sz="4" w:space="0" w:color="auto"/>
              <w:bottom w:val="single" w:sz="4" w:space="0" w:color="auto"/>
              <w:right w:val="single" w:sz="4" w:space="0" w:color="auto"/>
            </w:tcBorders>
            <w:hideMark/>
          </w:tcPr>
          <w:p w:rsidR="00845ED9" w:rsidRDefault="00033835">
            <w:pPr>
              <w:spacing w:line="360" w:lineRule="auto"/>
              <w:textAlignment w:val="baseline"/>
              <w:rPr>
                <w:rFonts w:ascii="Arial" w:hAnsi="Arial"/>
                <w:color w:val="444444"/>
                <w:sz w:val="28"/>
                <w:szCs w:val="28"/>
              </w:rPr>
            </w:pPr>
            <w:hyperlink r:id="rId131" w:history="1">
              <w:r w:rsidR="00845ED9">
                <w:rPr>
                  <w:rStyle w:val="a7"/>
                </w:rPr>
                <w:t>Вернуться в библиотеку по экономике и праву: учебники, дипломы, диссертации</w:t>
              </w:r>
            </w:hyperlink>
          </w:p>
          <w:p w:rsidR="00845ED9" w:rsidRDefault="00033835">
            <w:pPr>
              <w:spacing w:line="360" w:lineRule="auto"/>
              <w:textAlignment w:val="baseline"/>
              <w:rPr>
                <w:rFonts w:ascii="Arial" w:hAnsi="Arial"/>
                <w:color w:val="444444"/>
                <w:sz w:val="28"/>
                <w:szCs w:val="28"/>
              </w:rPr>
            </w:pPr>
            <w:hyperlink r:id="rId132" w:history="1">
              <w:proofErr w:type="spellStart"/>
              <w:r w:rsidR="00845ED9">
                <w:rPr>
                  <w:rStyle w:val="a7"/>
                </w:rPr>
                <w:t>Рерайт</w:t>
              </w:r>
              <w:proofErr w:type="spellEnd"/>
              <w:r w:rsidR="00845ED9">
                <w:rPr>
                  <w:rStyle w:val="a7"/>
                </w:rPr>
                <w:t xml:space="preserve"> текстов и </w:t>
              </w:r>
              <w:proofErr w:type="spellStart"/>
              <w:r w:rsidR="00845ED9">
                <w:rPr>
                  <w:rStyle w:val="a7"/>
                </w:rPr>
                <w:t>уникализация</w:t>
              </w:r>
              <w:proofErr w:type="spellEnd"/>
              <w:r w:rsidR="00845ED9">
                <w:rPr>
                  <w:rStyle w:val="a7"/>
                </w:rPr>
                <w:t xml:space="preserve"> 90 %</w:t>
              </w:r>
            </w:hyperlink>
          </w:p>
          <w:p w:rsidR="00845ED9" w:rsidRDefault="00033835">
            <w:pPr>
              <w:spacing w:line="360" w:lineRule="auto"/>
              <w:textAlignment w:val="baseline"/>
              <w:rPr>
                <w:rFonts w:ascii="Arial" w:hAnsi="Arial"/>
                <w:color w:val="444444"/>
                <w:sz w:val="28"/>
                <w:szCs w:val="28"/>
              </w:rPr>
            </w:pPr>
            <w:hyperlink r:id="rId133" w:history="1">
              <w:r w:rsidR="00845ED9">
                <w:rPr>
                  <w:rStyle w:val="a7"/>
                </w:rPr>
                <w:t>Написание по заказу контрольных, дипломов, диссертаций. . .</w:t>
              </w:r>
            </w:hyperlink>
          </w:p>
        </w:tc>
      </w:tr>
    </w:tbl>
    <w:p w:rsidR="00845ED9" w:rsidRDefault="00845E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845ED9">
      <w:headerReference w:type="even" r:id="rId134"/>
      <w:headerReference w:type="default" r:id="rId135"/>
      <w:footerReference w:type="even" r:id="rId136"/>
      <w:footerReference w:type="default" r:id="rId137"/>
      <w:headerReference w:type="first" r:id="rId138"/>
      <w:footerReference w:type="first" r:id="rId1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835" w:rsidRDefault="00033835">
      <w:pPr>
        <w:spacing w:after="0" w:line="240" w:lineRule="auto"/>
      </w:pPr>
      <w:r>
        <w:separator/>
      </w:r>
    </w:p>
  </w:endnote>
  <w:endnote w:type="continuationSeparator" w:id="0">
    <w:p w:rsidR="00033835" w:rsidRDefault="0003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476" w:rsidRDefault="0030347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476" w:rsidRPr="00761B89" w:rsidRDefault="00761B89" w:rsidP="00761B89">
    <w:pPr>
      <w:pStyle w:val="a5"/>
    </w:pPr>
    <w:r w:rsidRPr="00761B89">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476" w:rsidRDefault="00303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835" w:rsidRDefault="00033835">
      <w:pPr>
        <w:spacing w:after="0" w:line="240" w:lineRule="auto"/>
      </w:pPr>
      <w:r>
        <w:separator/>
      </w:r>
    </w:p>
  </w:footnote>
  <w:footnote w:type="continuationSeparator" w:id="0">
    <w:p w:rsidR="00033835" w:rsidRDefault="00033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476" w:rsidRDefault="0030347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DF3" w:rsidRDefault="008F0DF3" w:rsidP="008F0DF3">
    <w:pPr>
      <w:pStyle w:val="a3"/>
    </w:pPr>
    <w:r>
      <w:t>Узнайте стоимость написания на заказ студенческих и аспирантских работ</w:t>
    </w:r>
  </w:p>
  <w:p w:rsidR="00303476" w:rsidRPr="00761B89" w:rsidRDefault="008F0DF3" w:rsidP="008F0DF3">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476" w:rsidRDefault="0030347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9DA"/>
    <w:rsid w:val="00033835"/>
    <w:rsid w:val="00303476"/>
    <w:rsid w:val="003359DA"/>
    <w:rsid w:val="00425476"/>
    <w:rsid w:val="006F10F3"/>
    <w:rsid w:val="00761B89"/>
    <w:rsid w:val="007947D1"/>
    <w:rsid w:val="00845ED9"/>
    <w:rsid w:val="0089125C"/>
    <w:rsid w:val="008F0DF3"/>
    <w:rsid w:val="009A076C"/>
    <w:rsid w:val="00A435DB"/>
    <w:rsid w:val="00E92875"/>
    <w:rsid w:val="00FA1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845ED9"/>
    <w:pPr>
      <w:spacing w:after="0" w:line="240" w:lineRule="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45ED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5E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845ED9"/>
    <w:pPr>
      <w:spacing w:after="0" w:line="240" w:lineRule="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45ED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5E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425146">
      <w:bodyDiv w:val="1"/>
      <w:marLeft w:val="0"/>
      <w:marRight w:val="0"/>
      <w:marTop w:val="0"/>
      <w:marBottom w:val="0"/>
      <w:divBdr>
        <w:top w:val="none" w:sz="0" w:space="0" w:color="auto"/>
        <w:left w:val="none" w:sz="0" w:space="0" w:color="auto"/>
        <w:bottom w:val="none" w:sz="0" w:space="0" w:color="auto"/>
        <w:right w:val="none" w:sz="0" w:space="0" w:color="auto"/>
      </w:divBdr>
    </w:div>
    <w:div w:id="103169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107.wmf"/><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3.wmf"/><Relationship Id="rId68" Type="http://schemas.openxmlformats.org/officeDocument/2006/relationships/image" Target="media/image58.wmf"/><Relationship Id="rId84" Type="http://schemas.openxmlformats.org/officeDocument/2006/relationships/image" Target="media/image74.wmf"/><Relationship Id="rId89" Type="http://schemas.openxmlformats.org/officeDocument/2006/relationships/image" Target="media/image79.wmf"/><Relationship Id="rId112" Type="http://schemas.openxmlformats.org/officeDocument/2006/relationships/image" Target="media/image102.wmf"/><Relationship Id="rId133" Type="http://schemas.openxmlformats.org/officeDocument/2006/relationships/hyperlink" Target="http://&#1091;&#1095;&#1077;&#1073;&#1085;&#1080;&#1082;&#1080;.&#1080;&#1085;&#1092;&#1086;&#1088;&#1084;2000.&#1088;&#1092;/napisat-diplom.shtml" TargetMode="External"/><Relationship Id="rId138" Type="http://schemas.openxmlformats.org/officeDocument/2006/relationships/header" Target="header3.xml"/><Relationship Id="rId16" Type="http://schemas.openxmlformats.org/officeDocument/2006/relationships/image" Target="media/image6.wmf"/><Relationship Id="rId107" Type="http://schemas.openxmlformats.org/officeDocument/2006/relationships/image" Target="media/image97.wmf"/><Relationship Id="rId11" Type="http://schemas.openxmlformats.org/officeDocument/2006/relationships/image" Target="media/image1.wmf"/><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image" Target="media/image64.wmf"/><Relationship Id="rId79" Type="http://schemas.openxmlformats.org/officeDocument/2006/relationships/image" Target="media/image69.wmf"/><Relationship Id="rId102" Type="http://schemas.openxmlformats.org/officeDocument/2006/relationships/image" Target="media/image92.wmf"/><Relationship Id="rId123" Type="http://schemas.openxmlformats.org/officeDocument/2006/relationships/image" Target="media/image113.wmf"/><Relationship Id="rId128" Type="http://schemas.openxmlformats.org/officeDocument/2006/relationships/image" Target="media/image118.wmf"/><Relationship Id="rId5" Type="http://schemas.openxmlformats.org/officeDocument/2006/relationships/footnotes" Target="footnotes.xml"/><Relationship Id="rId90" Type="http://schemas.openxmlformats.org/officeDocument/2006/relationships/image" Target="media/image80.wmf"/><Relationship Id="rId95" Type="http://schemas.openxmlformats.org/officeDocument/2006/relationships/image" Target="media/image85.wmf"/><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image" Target="media/image54.wmf"/><Relationship Id="rId69" Type="http://schemas.openxmlformats.org/officeDocument/2006/relationships/image" Target="media/image59.wmf"/><Relationship Id="rId113" Type="http://schemas.openxmlformats.org/officeDocument/2006/relationships/image" Target="media/image103.wmf"/><Relationship Id="rId118" Type="http://schemas.openxmlformats.org/officeDocument/2006/relationships/image" Target="media/image108.wmf"/><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image" Target="media/image62.wmf"/><Relationship Id="rId80" Type="http://schemas.openxmlformats.org/officeDocument/2006/relationships/image" Target="media/image70.wmf"/><Relationship Id="rId85" Type="http://schemas.openxmlformats.org/officeDocument/2006/relationships/image" Target="media/image75.wmf"/><Relationship Id="rId93" Type="http://schemas.openxmlformats.org/officeDocument/2006/relationships/image" Target="media/image83.wmf"/><Relationship Id="rId98" Type="http://schemas.openxmlformats.org/officeDocument/2006/relationships/image" Target="media/image88.wmf"/><Relationship Id="rId121" Type="http://schemas.openxmlformats.org/officeDocument/2006/relationships/image" Target="media/image111.wmf"/><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103" Type="http://schemas.openxmlformats.org/officeDocument/2006/relationships/image" Target="media/image93.wmf"/><Relationship Id="rId108" Type="http://schemas.openxmlformats.org/officeDocument/2006/relationships/image" Target="media/image98.wmf"/><Relationship Id="rId116" Type="http://schemas.openxmlformats.org/officeDocument/2006/relationships/image" Target="media/image106.wmf"/><Relationship Id="rId124" Type="http://schemas.openxmlformats.org/officeDocument/2006/relationships/image" Target="media/image114.wmf"/><Relationship Id="rId129" Type="http://schemas.openxmlformats.org/officeDocument/2006/relationships/image" Target="media/image119.wmf"/><Relationship Id="rId137" Type="http://schemas.openxmlformats.org/officeDocument/2006/relationships/footer" Target="footer2.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3.wmf"/><Relationship Id="rId88" Type="http://schemas.openxmlformats.org/officeDocument/2006/relationships/image" Target="media/image78.wmf"/><Relationship Id="rId91" Type="http://schemas.openxmlformats.org/officeDocument/2006/relationships/image" Target="media/image81.wmf"/><Relationship Id="rId96" Type="http://schemas.openxmlformats.org/officeDocument/2006/relationships/image" Target="media/image86.wmf"/><Relationship Id="rId111" Type="http://schemas.openxmlformats.org/officeDocument/2006/relationships/image" Target="media/image101.wmf"/><Relationship Id="rId132" Type="http://schemas.openxmlformats.org/officeDocument/2006/relationships/hyperlink" Target="http://&#1091;&#1095;&#1077;&#1073;&#1085;&#1080;&#1082;&#1080;.&#1080;&#1085;&#1092;&#1086;&#1088;&#1084;2000.&#1088;&#1092;/rerait-diplom.shtml" TargetMode="External"/><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6" Type="http://schemas.openxmlformats.org/officeDocument/2006/relationships/image" Target="media/image96.wmf"/><Relationship Id="rId114" Type="http://schemas.openxmlformats.org/officeDocument/2006/relationships/image" Target="media/image104.wmf"/><Relationship Id="rId119" Type="http://schemas.openxmlformats.org/officeDocument/2006/relationships/image" Target="media/image109.wmf"/><Relationship Id="rId127" Type="http://schemas.openxmlformats.org/officeDocument/2006/relationships/image" Target="media/image117.wmf"/><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image" Target="media/image68.wmf"/><Relationship Id="rId81" Type="http://schemas.openxmlformats.org/officeDocument/2006/relationships/image" Target="media/image71.wmf"/><Relationship Id="rId86" Type="http://schemas.openxmlformats.org/officeDocument/2006/relationships/image" Target="media/image76.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122" Type="http://schemas.openxmlformats.org/officeDocument/2006/relationships/image" Target="media/image112.wmf"/><Relationship Id="rId130" Type="http://schemas.openxmlformats.org/officeDocument/2006/relationships/image" Target="media/image120.wmf"/><Relationship Id="rId13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 Id="rId109" Type="http://schemas.openxmlformats.org/officeDocument/2006/relationships/image" Target="media/image99.wmf"/><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7.wmf"/><Relationship Id="rId104" Type="http://schemas.openxmlformats.org/officeDocument/2006/relationships/image" Target="media/image94.wmf"/><Relationship Id="rId120" Type="http://schemas.openxmlformats.org/officeDocument/2006/relationships/image" Target="media/image110.wmf"/><Relationship Id="rId125" Type="http://schemas.openxmlformats.org/officeDocument/2006/relationships/image" Target="media/image115.wmf"/><Relationship Id="rId141"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1.wmf"/><Relationship Id="rId92" Type="http://schemas.openxmlformats.org/officeDocument/2006/relationships/image" Target="media/image82.wmf"/><Relationship Id="rId2" Type="http://schemas.microsoft.com/office/2007/relationships/stylesWithEffects" Target="stylesWithEffects.xml"/><Relationship Id="rId29" Type="http://schemas.openxmlformats.org/officeDocument/2006/relationships/image" Target="media/image19.wmf"/><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0.wmf"/><Relationship Id="rId115" Type="http://schemas.openxmlformats.org/officeDocument/2006/relationships/image" Target="media/image105.wmf"/><Relationship Id="rId131" Type="http://schemas.openxmlformats.org/officeDocument/2006/relationships/hyperlink" Target="http://&#1091;&#1095;&#1077;&#1073;&#1085;&#1080;&#1082;&#1080;.&#1080;&#1085;&#1092;&#1086;&#1088;&#1084;2000.&#1088;&#1092;/index.shtml" TargetMode="External"/><Relationship Id="rId136" Type="http://schemas.openxmlformats.org/officeDocument/2006/relationships/footer" Target="footer1.xml"/><Relationship Id="rId61" Type="http://schemas.openxmlformats.org/officeDocument/2006/relationships/image" Target="media/image51.wmf"/><Relationship Id="rId82" Type="http://schemas.openxmlformats.org/officeDocument/2006/relationships/image" Target="media/image72.wmf"/><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0.wmf"/><Relationship Id="rId105" Type="http://schemas.openxmlformats.org/officeDocument/2006/relationships/image" Target="media/image95.wmf"/><Relationship Id="rId126" Type="http://schemas.openxmlformats.org/officeDocument/2006/relationships/image" Target="media/image1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21279</Words>
  <Characters>121291</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2021-09-04T12:14:00Z</dcterms:created>
  <dcterms:modified xsi:type="dcterms:W3CDTF">2023-05-05T13:39:00Z</dcterms:modified>
</cp:coreProperties>
</file>